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109" w:rsidR="00F62DEF" w:rsidP="002E6109" w:rsidRDefault="002E6109" w14:paraId="77C3DCD0" w14:textId="77777777">
      <w:pPr>
        <w:rPr>
          <w:rFonts w:cs="Times New Roman (Body CS)"/>
          <w:b/>
          <w:sz w:val="32"/>
          <w:lang w:val="ro-RO"/>
        </w:rPr>
      </w:pPr>
      <w:r>
        <w:rPr>
          <w:noProof/>
        </w:rPr>
        <w:drawing>
          <wp:anchor distT="0" distB="0" distL="114300" distR="114300" simplePos="0" relativeHeight="251663360" behindDoc="1" locked="0" layoutInCell="1" allowOverlap="1" wp14:editId="68424D6A" wp14:anchorId="320E438D">
            <wp:simplePos x="0" y="0"/>
            <wp:positionH relativeFrom="column">
              <wp:posOffset>-194656</wp:posOffset>
            </wp:positionH>
            <wp:positionV relativeFrom="paragraph">
              <wp:posOffset>401320</wp:posOffset>
            </wp:positionV>
            <wp:extent cx="6341110" cy="2346325"/>
            <wp:effectExtent l="0" t="0" r="0" b="3175"/>
            <wp:wrapThrough wrapText="bothSides">
              <wp:wrapPolygon edited="0">
                <wp:start x="0" y="0"/>
                <wp:lineTo x="0" y="21512"/>
                <wp:lineTo x="21544" y="21512"/>
                <wp:lineTo x="21544" y="0"/>
                <wp:lineTo x="0" y="0"/>
              </wp:wrapPolygon>
            </wp:wrapThrough>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41110" cy="234632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sz w:val="21"/>
          <w:szCs w:val="21"/>
        </w:rPr>
        <mc:AlternateContent>
          <mc:Choice Requires="wps">
            <w:drawing>
              <wp:anchor distT="0" distB="0" distL="114300" distR="114300" simplePos="0" relativeHeight="251664384" behindDoc="0" locked="0" layoutInCell="1" allowOverlap="1" wp14:editId="7D5F2636" wp14:anchorId="52A0C980">
                <wp:simplePos x="0" y="0"/>
                <wp:positionH relativeFrom="column">
                  <wp:posOffset>-80645</wp:posOffset>
                </wp:positionH>
                <wp:positionV relativeFrom="paragraph">
                  <wp:posOffset>578889</wp:posOffset>
                </wp:positionV>
                <wp:extent cx="5960110" cy="1981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110" cy="1981200"/>
                        </a:xfrm>
                        <a:prstGeom prst="rect">
                          <a:avLst/>
                        </a:prstGeom>
                        <a:noFill/>
                        <a:ln w="6350">
                          <a:noFill/>
                        </a:ln>
                      </wps:spPr>
                      <wps:txbx>
                        <w:txbxContent>
                          <w:p w:rsidR="002707B0" w:rsidP="00516F49" w:rsidRDefault="00786077" w14:paraId="38398DD3" w14:textId="7385F7C4">
                            <w:pPr>
                              <w:rPr>
                                <w:b/>
                                <w:bCs/>
                                <w:color w:val="FFFFFF" w:themeColor="background1"/>
                                <w:sz w:val="32"/>
                                <w:szCs w:val="32"/>
                                <w:lang w:val="en-GB"/>
                              </w:rPr>
                            </w:pPr>
                            <w:r>
                              <w:rPr>
                                <w:b/>
                                <w:bCs/>
                                <w:color w:val="FFFFFF" w:themeColor="background1"/>
                                <w:sz w:val="32"/>
                                <w:szCs w:val="32"/>
                                <w:lang w:val="en-GB"/>
                              </w:rPr>
                              <w:t xml:space="preserve">Dokument przedstawiający stanowisko </w:t>
                            </w:r>
                            <w:r w:rsidR="00064BC2">
                              <w:rPr>
                                <w:b/>
                                <w:bCs/>
                                <w:color w:val="FFFFFF" w:themeColor="background1"/>
                                <w:sz w:val="32"/>
                                <w:szCs w:val="32"/>
                                <w:lang w:val="en-GB"/>
                              </w:rPr>
                              <w:t xml:space="preserve">nr 2026/179</w:t>
                            </w:r>
                          </w:p>
                          <w:p w:rsidRPr="00064BC2" w:rsidR="00786077" w:rsidP="00516F49" w:rsidRDefault="00786077" w14:paraId="017DAEF2" w14:textId="77777777">
                            <w:pPr>
                              <w:rPr>
                                <w:b/>
                                <w:bCs/>
                                <w:color w:val="FFFFFF" w:themeColor="background1"/>
                                <w:sz w:val="44"/>
                                <w:szCs w:val="44"/>
                                <w:lang w:val="en-GB"/>
                              </w:rPr>
                            </w:pPr>
                          </w:p>
                          <w:p w:rsidRPr="002707B0" w:rsidR="00D47BCE" w:rsidP="00516F49" w:rsidRDefault="002707B0" w14:paraId="0554E448" w14:textId="00C59D8B">
                            <w:pPr>
                              <w:rPr>
                                <w:b/>
                                <w:bCs/>
                                <w:color w:val="FFFFFF" w:themeColor="background1"/>
                                <w:sz w:val="44"/>
                                <w:szCs w:val="44"/>
                                <w:lang w:val="en-GB"/>
                              </w:rPr>
                            </w:pPr>
                            <w:r w:rsidRPr="002707B0">
                              <w:rPr>
                                <w:b/>
                                <w:bCs/>
                                <w:color w:val="FFFFFF" w:themeColor="background1"/>
                                <w:sz w:val="44"/>
                                <w:szCs w:val="44"/>
                                <w:lang w:val="en-GB"/>
                              </w:rPr>
                              <w:t xml:space="preserve">Zapewnienie obrony i </w:t>
                            </w:r>
                            <w:r>
                              <w:rPr>
                                <w:b/>
                                <w:bCs/>
                                <w:color w:val="FFFFFF" w:themeColor="background1"/>
                                <w:sz w:val="44"/>
                                <w:szCs w:val="44"/>
                                <w:lang w:val="en-GB"/>
                              </w:rPr>
                              <w:t xml:space="preserve">bezpieczeństwa</w:t>
                            </w:r>
                            <w:r w:rsidRPr="002707B0">
                              <w:rPr>
                                <w:b/>
                                <w:bCs/>
                                <w:color w:val="FFFFFF" w:themeColor="background1"/>
                                <w:sz w:val="44"/>
                                <w:szCs w:val="44"/>
                                <w:lang w:val="en-GB"/>
                              </w:rPr>
                              <w:t xml:space="preserve"> Europy </w:t>
                            </w:r>
                            <w:r>
                              <w:rPr>
                                <w:b/>
                                <w:bCs/>
                                <w:color w:val="FFFFFF" w:themeColor="background1"/>
                                <w:sz w:val="44"/>
                                <w:szCs w:val="44"/>
                                <w:lang w:val="en-GB"/>
                              </w:rPr>
                              <w:t xml:space="preserve">wymaga czegoś więcej niż tylko gotowości wojskowej</w:t>
                            </w:r>
                          </w:p>
                          <w:p w:rsidRPr="00786077" w:rsidR="00786077" w:rsidP="00A3589C" w:rsidRDefault="00786077" w14:paraId="06011A88" w14:textId="757F0B31">
                            <w:pPr>
                              <w:rPr>
                                <w:color w:val="FFFFFF" w:themeColor="background1"/>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A0C980">
                <v:stroke joinstyle="miter"/>
                <v:path gradientshapeok="t" o:connecttype="rect"/>
              </v:shapetype>
              <v:shape id="Text Box 4" style="position:absolute;margin-left:-6.35pt;margin-top:45.6pt;width:469.3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qNFwIAAC0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">
                <v:textbox>
                  <w:txbxContent>
                    <w:p w:rsidR="002707B0" w:rsidP="00516F49" w:rsidRDefault="00786077" w14:paraId="38398DD3" w14:textId="7385F7C4">
                      <w:pPr>
                        <w:rPr>
                          <w:b/>
                          <w:bCs/>
                          <w:color w:val="FFFFFF" w:themeColor="background1"/>
                          <w:sz w:val="32"/>
                          <w:szCs w:val="32"/>
                          <w:lang w:val="en-GB"/>
                        </w:rPr>
                      </w:pPr>
                      <w:r>
                        <w:rPr>
                          <w:b/>
                          <w:bCs/>
                          <w:color w:val="FFFFFF" w:themeColor="background1"/>
                          <w:sz w:val="32"/>
                          <w:szCs w:val="32"/>
                          <w:lang w:val="en-GB"/>
                        </w:rPr>
                        <w:t xml:space="preserve">Dokument stanowiska</w:t>
                      </w:r>
                      <w:r w:rsidR="00064BC2">
                        <w:rPr>
                          <w:b/>
                          <w:bCs/>
                          <w:color w:val="FFFFFF" w:themeColor="background1"/>
                          <w:sz w:val="32"/>
                          <w:szCs w:val="32"/>
                          <w:lang w:val="en-GB"/>
                        </w:rPr>
                        <w:t xml:space="preserve"> 2026/179</w:t>
                      </w:r>
                    </w:p>
                    <w:p w:rsidRPr="00064BC2" w:rsidR="00786077" w:rsidP="00516F49" w:rsidRDefault="00786077" w14:paraId="017DAEF2" w14:textId="77777777">
                      <w:pPr>
                        <w:rPr>
                          <w:b/>
                          <w:bCs/>
                          <w:color w:val="FFFFFF" w:themeColor="background1"/>
                          <w:sz w:val="44"/>
                          <w:szCs w:val="44"/>
                          <w:lang w:val="en-GB"/>
                        </w:rPr>
                      </w:pPr>
                    </w:p>
                    <w:p w:rsidRPr="002707B0" w:rsidR="00D47BCE" w:rsidP="00516F49" w:rsidRDefault="002707B0" w14:paraId="0554E448" w14:textId="00C59D8B">
                      <w:pPr>
                        <w:rPr>
                          <w:b/>
                          <w:bCs/>
                          <w:color w:val="FFFFFF" w:themeColor="background1"/>
                          <w:sz w:val="44"/>
                          <w:szCs w:val="44"/>
                          <w:lang w:val="en-GB"/>
                        </w:rPr>
                      </w:pPr>
                      <w:r w:rsidRPr="002707B0">
                        <w:rPr>
                          <w:b/>
                          <w:bCs/>
                          <w:color w:val="FFFFFF" w:themeColor="background1"/>
                          <w:sz w:val="44"/>
                          <w:szCs w:val="44"/>
                          <w:lang w:val="en-GB"/>
                        </w:rPr>
                        <w:t xml:space="preserve">Zapewnienie obrony i </w:t>
                      </w:r>
                      <w:r>
                        <w:rPr>
                          <w:b/>
                          <w:bCs/>
                          <w:color w:val="FFFFFF" w:themeColor="background1"/>
                          <w:sz w:val="44"/>
                          <w:szCs w:val="44"/>
                          <w:lang w:val="en-GB"/>
                        </w:rPr>
                        <w:t xml:space="preserve">bezpieczeństwa</w:t>
                      </w:r>
                      <w:r w:rsidRPr="002707B0">
                        <w:rPr>
                          <w:b/>
                          <w:bCs/>
                          <w:color w:val="FFFFFF" w:themeColor="background1"/>
                          <w:sz w:val="44"/>
                          <w:szCs w:val="44"/>
                          <w:lang w:val="en-GB"/>
                        </w:rPr>
                        <w:t xml:space="preserve"> Europy </w:t>
                      </w:r>
                      <w:r>
                        <w:rPr>
                          <w:b/>
                          <w:bCs/>
                          <w:color w:val="FFFFFF" w:themeColor="background1"/>
                          <w:sz w:val="44"/>
                          <w:szCs w:val="44"/>
                          <w:lang w:val="en-GB"/>
                        </w:rPr>
                        <w:t xml:space="preserve">wymaga czegoś więcej niż tylko gotowości wojskowej</w:t>
                      </w:r>
                    </w:p>
                    <w:p w:rsidRPr="00786077" w:rsidR="00786077" w:rsidP="00A3589C" w:rsidRDefault="00786077" w14:paraId="06011A88" w14:textId="757F0B31">
                      <w:pPr>
                        <w:rPr>
                          <w:color w:val="FFFFFF" w:themeColor="background1"/>
                          <w:sz w:val="22"/>
                          <w:szCs w:val="22"/>
                          <w:lang w:val="en-US"/>
                        </w:rPr>
                      </w:pPr>
                    </w:p>
                  </w:txbxContent>
                </v:textbox>
              </v:shape>
            </w:pict>
          </mc:Fallback>
        </mc:AlternateContent>
      </w:r>
      <w:r w:rsidR="00086669">
        <w:rPr>
          <w:noProof/>
        </w:rPr>
        <w:drawing>
          <wp:anchor distT="0" distB="0" distL="114300" distR="114300" simplePos="0" relativeHeight="251659264" behindDoc="0" locked="1" layoutInCell="1" allowOverlap="1" wp14:editId="34B8EE0E" wp14:anchorId="4649E957">
            <wp:simplePos x="0" y="0"/>
            <wp:positionH relativeFrom="margin">
              <wp:posOffset>4173855</wp:posOffset>
            </wp:positionH>
            <wp:positionV relativeFrom="margin">
              <wp:posOffset>-254635</wp:posOffset>
            </wp:positionV>
            <wp:extent cx="1810385" cy="427990"/>
            <wp:effectExtent l="0" t="0" r="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10385" cy="427990"/>
                    </a:xfrm>
                    <a:prstGeom prst="rect">
                      <a:avLst/>
                    </a:prstGeom>
                    <a:ln>
                      <a:noFill/>
                    </a:ln>
                  </pic:spPr>
                </pic:pic>
              </a:graphicData>
            </a:graphic>
            <wp14:sizeRelH relativeFrom="margin">
              <wp14:pctWidth>0</wp14:pctWidth>
            </wp14:sizeRelH>
            <wp14:sizeRelV relativeFrom="margin">
              <wp14:pctHeight>0</wp14:pctHeight>
            </wp14:sizeRelV>
          </wp:anchor>
        </w:drawing>
      </w:r>
    </w:p>
    <w:p w:rsidR="002707B0" w:rsidP="00064BC2" w:rsidRDefault="002707B0" w14:paraId="5EABD433" w14:textId="000D170C">
      <w:pPr>
        <w:contextualSpacing/>
        <w:jc w:val="both"/>
        <w:rPr>
          <w:rFonts w:ascii="Calibri" w:hAnsi="Calibri" w:cs="Calibri"/>
          <w:sz w:val="22"/>
          <w:szCs w:val="22"/>
        </w:rPr>
      </w:pPr>
    </w:p>
    <w:p w:rsidR="00161F5F" w:rsidP="00064BC2" w:rsidRDefault="00161F5F" w14:paraId="769E4EB0" w14:textId="77777777">
      <w:pPr>
        <w:contextualSpacing/>
        <w:jc w:val="both"/>
        <w:rPr>
          <w:rFonts w:ascii="Calibri" w:hAnsi="Calibri" w:cs="Calibri"/>
          <w:sz w:val="22"/>
          <w:szCs w:val="22"/>
        </w:rPr>
      </w:pPr>
    </w:p>
    <w:p w:rsidRPr="00A83857" w:rsidR="002707B0" w:rsidP="00064BC2" w:rsidRDefault="002707B0" w14:paraId="5C59A591" w14:textId="7CB8F56A">
      <w:pPr>
        <w:contextualSpacing/>
        <w:jc w:val="both"/>
        <w:rPr>
          <w:rFonts w:ascii="Calibri" w:hAnsi="Calibri" w:cs="Calibri"/>
          <w:sz w:val="22"/>
          <w:szCs w:val="22"/>
          <w:lang w:val="en-GB"/>
        </w:rPr>
      </w:pPr>
      <w:r w:rsidRPr="00A83857">
        <w:rPr>
          <w:rFonts w:ascii="Calibri" w:hAnsi="Calibri" w:cs="Calibri"/>
          <w:sz w:val="22"/>
          <w:szCs w:val="22"/>
        </w:rPr>
        <w:t xml:space="preserve">Europa nadaje priorytet zdolnościom obronnym w agendzie politycznej poprzez szereg inicjatyw mających na celu zwiększenie inwestycji i koordynacji, takich jak </w:t>
      </w:r>
      <w:hyperlink w:history="1" r:id="rId9">
        <w:r w:rsidRPr="00A83857">
          <w:rPr>
            <w:rStyle w:val="Hyperlink"/>
            <w:rFonts w:ascii="Calibri" w:hAnsi="Calibri" w:cs="Calibri"/>
            <w:sz w:val="22"/>
            <w:szCs w:val="22"/>
            <w:lang w:val="en-GB"/>
          </w:rPr>
          <w:t xml:space="preserve">ReArm </w:t>
        </w:r>
        <w:r w:rsidRPr="00A83857">
          <w:rPr>
            <w:rStyle w:val="Hyperlink"/>
            <w:rFonts w:ascii="Calibri" w:hAnsi="Calibri" w:cs="Calibri"/>
            <w:sz w:val="22"/>
            <w:szCs w:val="22"/>
            <w:lang w:val="en-GB"/>
          </w:rPr>
          <w:t xml:space="preserve">Europe</w:t>
        </w:r>
      </w:hyperlink>
      <w:r w:rsidRPr="00A83857">
        <w:rPr>
          <w:rFonts w:ascii="Calibri" w:hAnsi="Calibri" w:cs="Calibri"/>
          <w:sz w:val="22"/>
          <w:szCs w:val="22"/>
          <w:lang w:val="en-GB"/>
        </w:rPr>
        <w:t xml:space="preserve">, której celem jest zmobilizowanie bezprecedensowej kwoty 800 mld euro na dodatkowe wydatki na obronę w ciągu najbliższych lat. Tymczasem w nowej </w:t>
      </w:r>
      <w:hyperlink w:history="1" r:id="rId10">
        <w:r w:rsidRPr="00A83857">
          <w:rPr>
            <w:rStyle w:val="Hyperlink"/>
            <w:rFonts w:ascii="Calibri" w:hAnsi="Calibri" w:cs="Calibri"/>
            <w:sz w:val="22"/>
            <w:szCs w:val="22"/>
            <w:lang w:val="en-GB"/>
          </w:rPr>
          <w:t xml:space="preserve">propozycji</w:t>
        </w:r>
      </w:hyperlink>
      <w:r w:rsidRPr="00A83857">
        <w:rPr>
          <w:rFonts w:ascii="Calibri" w:hAnsi="Calibri" w:cs="Calibri"/>
          <w:sz w:val="22"/>
          <w:szCs w:val="22"/>
          <w:lang w:val="en-GB"/>
        </w:rPr>
        <w:t xml:space="preserve"> dotyczącej kolejnych wieloletnich ram finansowych na lata 2028–2034 planuje się pięciokrotny wzrost środków na obronę w porównaniu z poprzednim budżetem UE. Komisja przedstawiła również pakiet </w:t>
      </w:r>
      <w:hyperlink w:history="1" r:id="rId11">
        <w:r w:rsidRPr="00A83857">
          <w:rPr>
            <w:rStyle w:val="Hyperlink"/>
            <w:rFonts w:ascii="Calibri" w:hAnsi="Calibri" w:cs="Calibri"/>
            <w:sz w:val="22"/>
            <w:szCs w:val="22"/>
            <w:lang w:val="en-GB"/>
          </w:rPr>
          <w:t xml:space="preserve">„Defence Omnibus</w:t>
        </w:r>
      </w:hyperlink>
      <w:r w:rsidRPr="00A83857">
        <w:rPr>
          <w:rFonts w:ascii="Calibri" w:hAnsi="Calibri" w:cs="Calibri"/>
          <w:sz w:val="22"/>
          <w:szCs w:val="22"/>
          <w:lang w:val="en-GB"/>
        </w:rPr>
        <w:t xml:space="preserve">”, który zawiera szereg propozycji dotyczących wyłączenia sektora obronnego spod przepisów prawa pracy i prawa ochrony środowiska, a także przyspieszenia procedur wydawania zezwoleń i ułatwienia finansowania działań obronnych. Wreszcie Komisja przedstawiła </w:t>
      </w:r>
      <w:hyperlink w:history="1" r:id="rId12">
        <w:r w:rsidRPr="00A83857">
          <w:rPr>
            <w:rStyle w:val="Hyperlink"/>
            <w:rFonts w:ascii="Calibri" w:hAnsi="Calibri" w:cs="Calibri"/>
            <w:sz w:val="22"/>
            <w:szCs w:val="22"/>
            <w:lang w:val="en-GB"/>
          </w:rPr>
          <w:t xml:space="preserve">„Mapę drogową gotowości obronnej do 2030 r</w:t>
        </w:r>
      </w:hyperlink>
      <w:r w:rsidRPr="00A83857">
        <w:rPr>
          <w:rFonts w:ascii="Calibri" w:hAnsi="Calibri" w:cs="Calibri"/>
          <w:sz w:val="22"/>
          <w:szCs w:val="22"/>
          <w:lang w:val="en-GB"/>
        </w:rPr>
        <w:t xml:space="preserve">.”</w:t>
      </w:r>
      <w:r w:rsidRPr="00A83857">
        <w:rPr>
          <w:rFonts w:ascii="Calibri" w:hAnsi="Calibri" w:cs="Calibri"/>
          <w:sz w:val="22"/>
          <w:szCs w:val="22"/>
          <w:lang w:val="en-GB"/>
        </w:rPr>
        <w:t xml:space="preserve">, </w:t>
      </w:r>
      <w:r w:rsidRPr="00A83857">
        <w:rPr>
          <w:rFonts w:ascii="Calibri" w:hAnsi="Calibri" w:cs="Calibri"/>
          <w:sz w:val="22"/>
          <w:szCs w:val="22"/>
          <w:lang w:val="en-GB"/>
        </w:rPr>
        <w:t xml:space="preserve">w której określono cele, kamienie milowe i wskaźniki służące do pomiaru postępów państw członkowskich, a także Europejskiej Bazy Przemysłowej i Technologicznej w dziedzinie Obrony (EDTIB), na drodze do osiągnięcia „gotowości obronnej” w ciągu najbliższych pięciu lat. </w:t>
      </w:r>
    </w:p>
    <w:p w:rsidRPr="00A83857" w:rsidR="002707B0" w:rsidP="00064BC2" w:rsidRDefault="002707B0" w14:paraId="7631837D" w14:textId="77777777">
      <w:pPr>
        <w:contextualSpacing/>
        <w:jc w:val="both"/>
        <w:rPr>
          <w:rFonts w:ascii="Calibri" w:hAnsi="Calibri" w:cs="Calibri"/>
          <w:sz w:val="22"/>
          <w:szCs w:val="22"/>
          <w:lang w:val="en-GB"/>
        </w:rPr>
      </w:pPr>
    </w:p>
    <w:p w:rsidRPr="00A83857" w:rsidR="002707B0" w:rsidP="00064BC2" w:rsidRDefault="002707B0" w14:paraId="648E4E1D" w14:textId="008B5124">
      <w:pPr>
        <w:contextualSpacing/>
        <w:jc w:val="both"/>
        <w:rPr>
          <w:rFonts w:ascii="Calibri" w:hAnsi="Calibri" w:cs="Calibri"/>
          <w:sz w:val="22"/>
          <w:szCs w:val="22"/>
          <w:lang w:val="en-GB"/>
        </w:rPr>
      </w:pPr>
      <w:r w:rsidRPr="00A83857">
        <w:rPr>
          <w:rFonts w:ascii="Calibri" w:hAnsi="Calibri" w:cs="Calibri"/>
          <w:sz w:val="22"/>
          <w:szCs w:val="22"/>
          <w:lang w:val="en-GB"/>
        </w:rPr>
        <w:t xml:space="preserve">Według najnowszej publikacji SIPRI wielkość transferów broni ciężkiej między państwami wzrosła o</w:t>
      </w:r>
      <w:r w:rsidR="007778D4">
        <w:rPr>
          <w:rFonts w:ascii="Calibri" w:hAnsi="Calibri" w:cs="Calibri"/>
          <w:sz w:val="22"/>
          <w:szCs w:val="22"/>
          <w:lang w:val="en-GB"/>
        </w:rPr>
        <w:t xml:space="preserve"> 9</w:t>
      </w:r>
      <w:r w:rsidRPr="00A83857">
        <w:rPr>
          <w:rFonts w:ascii="Calibri" w:hAnsi="Calibri" w:cs="Calibri"/>
          <w:sz w:val="22"/>
          <w:szCs w:val="22"/>
          <w:lang w:val="en-GB"/>
        </w:rPr>
        <w:t xml:space="preserve">,</w:t>
      </w:r>
      <w:r w:rsidR="007778D4">
        <w:rPr>
          <w:rFonts w:ascii="Calibri" w:hAnsi="Calibri" w:cs="Calibri"/>
          <w:sz w:val="22"/>
          <w:szCs w:val="22"/>
          <w:lang w:val="en-GB"/>
        </w:rPr>
        <w:t xml:space="preserve">2% </w:t>
      </w:r>
      <w:r w:rsidRPr="00A83857">
        <w:rPr>
          <w:rFonts w:ascii="Calibri" w:hAnsi="Calibri" w:cs="Calibri"/>
          <w:sz w:val="22"/>
          <w:szCs w:val="22"/>
          <w:lang w:val="en-GB"/>
        </w:rPr>
        <w:t xml:space="preserve">w okresie od 2016–20 do 2021–25. </w:t>
      </w:r>
      <w:r>
        <w:rPr>
          <w:rFonts w:ascii="Calibri" w:hAnsi="Calibri" w:cs="Calibri"/>
          <w:sz w:val="22"/>
          <w:szCs w:val="22"/>
          <w:lang w:val="en-GB"/>
        </w:rPr>
        <w:t xml:space="preserve">W tym samym badaniu podkreślono, że </w:t>
      </w:r>
      <w:r w:rsidRPr="00A83857">
        <w:rPr>
          <w:rFonts w:ascii="Calibri" w:hAnsi="Calibri" w:cs="Calibri"/>
          <w:sz w:val="22"/>
          <w:szCs w:val="22"/>
          <w:lang w:val="en-GB"/>
        </w:rPr>
        <w:t xml:space="preserve">„państwa europejskie ponad trzykrotnie zwiększyły import broni, stając się tym samym największym regionem odbiorczym</w:t>
      </w:r>
      <w:r>
        <w:rPr>
          <w:rFonts w:ascii="Calibri" w:hAnsi="Calibri" w:cs="Calibri"/>
          <w:sz w:val="22"/>
          <w:szCs w:val="22"/>
          <w:lang w:val="en-GB"/>
        </w:rPr>
        <w:t xml:space="preserve">”.</w:t>
      </w:r>
    </w:p>
    <w:p w:rsidRPr="00A83857" w:rsidR="002707B0" w:rsidP="00064BC2" w:rsidRDefault="002707B0" w14:paraId="4257AA8B" w14:textId="77777777">
      <w:pPr>
        <w:contextualSpacing/>
        <w:jc w:val="both"/>
        <w:rPr>
          <w:rFonts w:ascii="Calibri" w:hAnsi="Calibri" w:cs="Calibri"/>
          <w:sz w:val="22"/>
          <w:szCs w:val="22"/>
          <w:lang w:val="en-GB"/>
        </w:rPr>
      </w:pPr>
    </w:p>
    <w:p w:rsidRPr="00A83857" w:rsidR="002707B0" w:rsidP="00064BC2" w:rsidRDefault="002707B0" w14:paraId="38366193" w14:textId="77777777">
      <w:pPr>
        <w:contextualSpacing/>
        <w:jc w:val="both"/>
        <w:rPr>
          <w:rFonts w:ascii="Calibri" w:hAnsi="Calibri" w:cs="Calibri"/>
          <w:sz w:val="22"/>
          <w:szCs w:val="22"/>
        </w:rPr>
      </w:pPr>
      <w:r w:rsidRPr="00A83857">
        <w:rPr>
          <w:rFonts w:ascii="Calibri" w:hAnsi="Calibri" w:cs="Calibri"/>
          <w:sz w:val="22"/>
          <w:szCs w:val="22"/>
        </w:rPr>
        <w:t xml:space="preserve">Chociaż cel polegający na poprawie gotowości i zapewnieniu zbiorowego bezpieczeństwa jest uzasadniony, musi on być realizowany przy pełnym poszanowaniu praw podstawowych, standardów społecznych i demokratycznego sprawowania rządów. Co więcej, same wyższe wydatki na obronę nie prowadzą automatycznie do wzmocnienia pokoju ani stabilności, a </w:t>
      </w:r>
      <w:r w:rsidRPr="00A83857">
        <w:rPr>
          <w:rFonts w:ascii="Calibri" w:hAnsi="Calibri" w:cs="Calibri"/>
          <w:sz w:val="22"/>
          <w:szCs w:val="22"/>
        </w:rPr>
        <w:t xml:space="preserve">nadmierne poleganie na środkach wojskowych może odwracać uwagę od innych istotnych elementów bezpieczeństwa. Gwałtowny wzrost budżetów wojskowych grozi odpływem środków z inwestycji, które rzeczywiście wspierają pokojową i odporną Europę.</w:t>
      </w:r>
    </w:p>
    <w:p w:rsidRPr="00A83857" w:rsidR="002707B0" w:rsidP="00064BC2" w:rsidRDefault="002707B0" w14:paraId="194A1E65" w14:textId="09E6C77E">
      <w:pPr>
        <w:pStyle w:val="NormalWeb"/>
        <w:contextualSpacing/>
        <w:jc w:val="both"/>
        <w:rPr>
          <w:rFonts w:ascii="Calibri" w:hAnsi="Calibri" w:cs="Calibri"/>
          <w:sz w:val="22"/>
          <w:szCs w:val="22"/>
          <w:lang w:val="en-US"/>
        </w:rPr>
      </w:pPr>
      <w:r w:rsidRPr="00A83857">
        <w:rPr>
          <w:rFonts w:ascii="Calibri" w:hAnsi="Calibri" w:cs="Calibri"/>
          <w:sz w:val="22"/>
          <w:szCs w:val="22"/>
          <w:lang w:val="en-US"/>
        </w:rPr>
        <w:t xml:space="preserve">Kierując się wartościami głęboko zakorzenionymi w pokoju, prawie międzynarodowym i multilateralizmie, </w:t>
      </w:r>
      <w:r w:rsidRPr="00A83857">
        <w:rPr>
          <w:rFonts w:ascii="Calibri" w:hAnsi="Calibri" w:cs="Calibri"/>
          <w:sz w:val="22"/>
          <w:szCs w:val="22"/>
          <w:lang w:val="en-US"/>
        </w:rPr>
        <w:t xml:space="preserve">industriAll </w:t>
      </w:r>
      <w:r w:rsidRPr="00A83857">
        <w:rPr>
          <w:rFonts w:ascii="Calibri" w:hAnsi="Calibri" w:cs="Calibri"/>
          <w:sz w:val="22"/>
          <w:szCs w:val="22"/>
          <w:lang w:val="en-US"/>
        </w:rPr>
        <w:t xml:space="preserve">Europe nadal wzywa do </w:t>
      </w:r>
      <w:r w:rsidRPr="00A83857">
        <w:rPr>
          <w:rFonts w:ascii="Calibri" w:hAnsi="Calibri" w:cs="Calibri"/>
          <w:sz w:val="22"/>
          <w:szCs w:val="22"/>
          <w:lang w:val="en-US"/>
        </w:rPr>
        <w:t xml:space="preserve">deeskalacji konfliktów, dążenia do zawieszenia broni oraz wznowienia wysiłków dyplomatycznych. Pokój, poszanowanie prawa międzynarodowego i sprawiedliwość społeczna pozostają podstawowymi warunkami </w:t>
      </w:r>
      <w:r w:rsidRPr="00A83857">
        <w:rPr>
          <w:rFonts w:ascii="Calibri" w:hAnsi="Calibri" w:cs="Calibri"/>
          <w:sz w:val="22"/>
          <w:szCs w:val="22"/>
          <w:lang w:val="en-US"/>
        </w:rPr>
        <w:t xml:space="preserve">długoterminowego </w:t>
      </w:r>
      <w:r w:rsidRPr="00A83857">
        <w:rPr>
          <w:rFonts w:ascii="Calibri" w:hAnsi="Calibri" w:cs="Calibri"/>
          <w:sz w:val="22"/>
          <w:szCs w:val="22"/>
          <w:lang w:val="en-US"/>
        </w:rPr>
        <w:t xml:space="preserve">dobrobytu i bezpieczeństwa </w:t>
      </w:r>
      <w:r w:rsidRPr="00A83857">
        <w:rPr>
          <w:rFonts w:ascii="Calibri" w:hAnsi="Calibri" w:cs="Calibri"/>
          <w:sz w:val="22"/>
          <w:szCs w:val="22"/>
          <w:lang w:val="en-US"/>
        </w:rPr>
        <w:t xml:space="preserve">Europy</w:t>
      </w:r>
      <w:r w:rsidRPr="00A83857">
        <w:rPr>
          <w:rFonts w:ascii="Calibri" w:hAnsi="Calibri" w:cs="Calibri"/>
          <w:sz w:val="22"/>
          <w:szCs w:val="22"/>
          <w:lang w:val="en-US"/>
        </w:rPr>
        <w:t xml:space="preserve">. </w:t>
      </w:r>
      <w:r w:rsidRPr="00A83857">
        <w:rPr>
          <w:rFonts w:ascii="Calibri" w:hAnsi="Calibri" w:cs="Calibri"/>
          <w:sz w:val="22"/>
          <w:szCs w:val="22"/>
          <w:lang w:val="en-US"/>
        </w:rPr>
        <w:t xml:space="preserve">Inicjatywy </w:t>
      </w:r>
      <w:r w:rsidRPr="00A83857">
        <w:rPr>
          <w:rFonts w:ascii="Calibri" w:hAnsi="Calibri" w:cs="Calibri"/>
          <w:sz w:val="22"/>
          <w:szCs w:val="22"/>
          <w:lang w:val="en-US"/>
        </w:rPr>
        <w:t xml:space="preserve">w zakresie obronności </w:t>
      </w:r>
      <w:r w:rsidRPr="00A83857">
        <w:rPr>
          <w:rFonts w:ascii="Calibri" w:hAnsi="Calibri" w:cs="Calibri"/>
          <w:sz w:val="22"/>
          <w:szCs w:val="22"/>
          <w:lang w:val="en-US"/>
        </w:rPr>
        <w:t xml:space="preserve">muszą również respektować kompetencje krajowe. </w:t>
      </w:r>
    </w:p>
    <w:p w:rsidR="002707B0" w:rsidP="00064BC2" w:rsidRDefault="002707B0" w14:paraId="4B7CC1F0" w14:textId="67D4F7B5">
      <w:pPr>
        <w:contextualSpacing/>
        <w:jc w:val="both"/>
        <w:rPr>
          <w:rFonts w:ascii="Calibri" w:hAnsi="Calibri" w:cs="Calibri"/>
          <w:sz w:val="22"/>
          <w:szCs w:val="22"/>
        </w:rPr>
      </w:pPr>
      <w:r w:rsidRPr="00A83857">
        <w:rPr>
          <w:rFonts w:ascii="Calibri" w:hAnsi="Calibri" w:cs="Calibri"/>
          <w:sz w:val="22"/>
          <w:szCs w:val="22"/>
          <w:lang w:val="en-GB"/>
        </w:rPr>
        <w:t xml:space="preserve">Niniejsze stanowisko opiera się na </w:t>
      </w:r>
      <w:r w:rsidRPr="00A83857">
        <w:rPr>
          <w:rStyle w:val="Hyperlink"/>
          <w:rFonts w:ascii="Calibri" w:hAnsi="Calibri" w:cs="Calibri"/>
          <w:sz w:val="22"/>
          <w:szCs w:val="22"/>
          <w:lang w:val="en-GB"/>
        </w:rPr>
        <w:t xml:space="preserve">Deklaracji Warszawskiej „</w:t>
      </w:r>
      <w:bookmarkStart w:name="_Hlk219063456" w:id="0"/>
      <w:r>
        <w:fldChar w:fldCharType="begin"/>
      </w:r>
      <w:r>
        <w:instrText>HYPERLINK "https://news.industriall-europe.eu/Article/1186"</w:instrText>
      </w:r>
      <w:r>
        <w:fldChar w:fldCharType="separate"/>
      </w:r>
      <w:r w:rsidRPr="00A83857">
        <w:rPr>
          <w:rFonts w:ascii="Calibri" w:hAnsi="Calibri" w:cs="Calibri"/>
          <w:sz w:val="22"/>
          <w:szCs w:val="22"/>
        </w:rPr>
        <w:t xml:space="preserve"> </w:t>
      </w:r>
      <w:r>
        <w:fldChar w:fldCharType="end"/>
      </w:r>
      <w:r w:rsidRPr="00A83857">
        <w:rPr>
          <w:rFonts w:ascii="Calibri" w:hAnsi="Calibri" w:cs="Calibri"/>
          <w:sz w:val="22"/>
          <w:szCs w:val="22"/>
        </w:rPr>
        <w:t xml:space="preserve"> przyjętej </w:t>
      </w:r>
      <w:r w:rsidRPr="00A83857">
        <w:rPr>
          <w:rFonts w:ascii="Calibri" w:hAnsi="Calibri" w:cs="Calibri"/>
          <w:sz w:val="22"/>
          <w:szCs w:val="22"/>
        </w:rPr>
        <w:t xml:space="preserve">w </w:t>
      </w:r>
      <w:r w:rsidRPr="00A83857">
        <w:rPr>
          <w:rFonts w:ascii="Calibri" w:hAnsi="Calibri" w:cs="Calibri"/>
          <w:sz w:val="22"/>
          <w:szCs w:val="22"/>
        </w:rPr>
        <w:t xml:space="preserve">grudniu 2024 r., a także na fundamentalnych zasadach związkowych przywołanych w naszej uchwale kongresowej „Związki zawodowe przemysłu – budowniczowie pokoju” przyjętej 3 czerwca 2025 r.</w:t>
      </w:r>
      <w:bookmarkEnd w:id="0"/>
      <w:r>
        <w:rPr>
          <w:rFonts w:ascii="Calibri" w:hAnsi="Calibri" w:cs="Calibri"/>
          <w:sz w:val="22"/>
          <w:szCs w:val="22"/>
        </w:rPr>
        <w:t xml:space="preserve"> oraz w </w:t>
      </w:r>
      <w:hyperlink w:history="1" r:id="rId13">
        <w:r w:rsidRPr="001B1F1C">
          <w:rPr>
            <w:rStyle w:val="Hyperlink"/>
            <w:rFonts w:ascii="Calibri" w:hAnsi="Calibri" w:cs="Calibri"/>
            <w:sz w:val="22"/>
            <w:szCs w:val="22"/>
          </w:rPr>
          <w:t xml:space="preserve">deklaracji</w:t>
        </w:r>
      </w:hyperlink>
      <w:r>
        <w:rPr>
          <w:rFonts w:ascii="Calibri" w:hAnsi="Calibri" w:cs="Calibri"/>
          <w:sz w:val="22"/>
          <w:szCs w:val="22"/>
        </w:rPr>
        <w:t xml:space="preserve"> przyjętej przez Komitet Wykonawczy w maju 2026 r.</w:t>
      </w:r>
    </w:p>
    <w:p w:rsidRPr="00A83857" w:rsidR="002707B0" w:rsidP="00064BC2" w:rsidRDefault="002707B0" w14:paraId="713E2146" w14:textId="77777777">
      <w:pPr>
        <w:contextualSpacing/>
        <w:jc w:val="both"/>
        <w:rPr>
          <w:rFonts w:ascii="Calibri" w:hAnsi="Calibri" w:cs="Calibri"/>
          <w:sz w:val="22"/>
          <w:szCs w:val="22"/>
          <w:lang w:val="en-GB"/>
        </w:rPr>
      </w:pPr>
    </w:p>
    <w:p w:rsidRPr="00A83857" w:rsidR="002707B0" w:rsidP="00064BC2" w:rsidRDefault="002707B0" w14:paraId="7101DC9B" w14:textId="77777777">
      <w:pPr>
        <w:contextualSpacing/>
        <w:jc w:val="both"/>
        <w:rPr>
          <w:rFonts w:ascii="Calibri" w:hAnsi="Calibri" w:cs="Calibri"/>
          <w:lang w:val="en-GB"/>
        </w:rPr>
      </w:pPr>
      <w:r w:rsidRPr="00A83857">
        <w:rPr>
          <w:rFonts w:ascii="Calibri" w:hAnsi="Calibri" w:eastAsia="Times New Roman" w:cs="Calibri"/>
          <w:b/>
          <w:bCs/>
          <w:color w:val="2F5496" w:themeColor="accent1" w:themeShade="BF"/>
          <w:lang w:val="en-GB" w:eastAsia="fr-FR"/>
        </w:rPr>
        <w:t xml:space="preserve">Europa potrzebuje strategii dla całego przemysłu, a nie tylko dla sektora obronnego</w:t>
      </w:r>
    </w:p>
    <w:p w:rsidRPr="00A83857" w:rsidR="002707B0" w:rsidP="00064BC2" w:rsidRDefault="002707B0" w14:paraId="6F792456"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1573E52A" w14:textId="1139C6FB">
      <w:pPr>
        <w:contextualSpacing/>
        <w:jc w:val="both"/>
        <w:rPr>
          <w:rFonts w:ascii="Calibri" w:hAnsi="Calibri" w:eastAsia="Times New Roman" w:cs="Calibri"/>
          <w:sz w:val="22"/>
          <w:szCs w:val="22"/>
          <w:lang w:eastAsia="fr-FR"/>
        </w:rPr>
      </w:pPr>
      <w:r w:rsidRPr="00A83857">
        <w:rPr>
          <w:rFonts w:ascii="Calibri" w:hAnsi="Calibri" w:eastAsia="Times New Roman" w:cs="Calibri"/>
          <w:b/>
          <w:bCs/>
          <w:sz w:val="22"/>
          <w:szCs w:val="22"/>
          <w:lang w:val="en-GB" w:eastAsia="fr-FR"/>
        </w:rPr>
        <w:t xml:space="preserve">EDTIB w znacznym stopniu opiera się na silnym przemyśle europejskim. </w:t>
      </w:r>
      <w:r w:rsidRPr="00A83857">
        <w:rPr>
          <w:rFonts w:ascii="Calibri" w:hAnsi="Calibri" w:eastAsia="Times New Roman" w:cs="Calibri"/>
          <w:sz w:val="22"/>
          <w:szCs w:val="22"/>
          <w:lang w:val="en-GB" w:eastAsia="fr-FR"/>
        </w:rPr>
        <w:t xml:space="preserve">Sektory stali, metali podstawowych i surowców dostarczają kluczowe surowce i półprodukty dla sektora obronnego</w:t>
      </w:r>
      <w:r w:rsidRPr="00A83857">
        <w:rPr>
          <w:rFonts w:ascii="Calibri" w:hAnsi="Calibri" w:eastAsia="Times New Roman" w:cs="Calibri"/>
          <w:sz w:val="22"/>
          <w:szCs w:val="22"/>
          <w:lang w:val="en-GB" w:eastAsia="fr-FR"/>
        </w:rPr>
        <w:t xml:space="preserve">.</w:t>
      </w:r>
      <w:r w:rsidRPr="00A83857">
        <w:rPr>
          <w:rFonts w:ascii="Calibri" w:hAnsi="Calibri" w:eastAsia="Times New Roman" w:cs="Calibri"/>
          <w:sz w:val="22"/>
          <w:szCs w:val="22"/>
          <w:lang w:val="en-GB" w:eastAsia="fr-FR"/>
        </w:rPr>
        <w:t xml:space="preserve"> Podobnie </w:t>
      </w:r>
      <w:r w:rsidRPr="00A83857">
        <w:rPr>
          <w:rFonts w:ascii="Calibri" w:hAnsi="Calibri" w:eastAsia="Times New Roman" w:cs="Calibri"/>
          <w:sz w:val="22"/>
          <w:szCs w:val="22"/>
          <w:lang w:val="en-GB" w:eastAsia="fr-FR"/>
        </w:rPr>
        <w:t xml:space="preserve">sektory</w:t>
      </w:r>
      <w:r w:rsidRPr="00A83857">
        <w:rPr>
          <w:rFonts w:ascii="Calibri" w:hAnsi="Calibri" w:eastAsia="Times New Roman" w:cs="Calibri"/>
          <w:sz w:val="22"/>
          <w:szCs w:val="22"/>
          <w:lang w:val="en-GB" w:eastAsia="fr-FR"/>
        </w:rPr>
        <w:t xml:space="preserve"> chemiczny i elektroniczny</w:t>
      </w:r>
      <w:r w:rsidRPr="00A83857">
        <w:rPr>
          <w:rFonts w:ascii="Calibri" w:hAnsi="Calibri" w:eastAsia="Times New Roman" w:cs="Calibri"/>
          <w:sz w:val="22"/>
          <w:szCs w:val="22"/>
          <w:lang w:val="en-GB" w:eastAsia="fr-FR"/>
        </w:rPr>
        <w:lastRenderedPageBreak/>
      </w:r>
      <w:r w:rsidRPr="00A83857">
        <w:rPr>
          <w:rFonts w:ascii="Calibri" w:hAnsi="Calibri" w:eastAsia="Times New Roman" w:cs="Calibri"/>
          <w:sz w:val="22"/>
          <w:szCs w:val="22"/>
          <w:lang w:val="en-GB" w:eastAsia="fr-FR"/>
        </w:rPr>
        <w:t xml:space="preserve"> mają kluczowe znaczenie dla europejskiej obronności. Wszystkie te sektory przechodzą obecnie poważny kryzys restrukturyzacyjny, któremu należy pilnie przeciwdziałać za pomocą odpowiednich środków wsparcia ze strony Komisji. W obliczu rosnącej niepewności politycznej borykają się one również z zakłóceniami w łańcuchu dostaw.</w:t>
      </w:r>
      <w:r>
        <w:rPr>
          <w:rFonts w:ascii="Calibri" w:hAnsi="Calibri" w:eastAsia="Times New Roman" w:cs="Calibri"/>
          <w:sz w:val="22"/>
          <w:szCs w:val="22"/>
          <w:lang w:val="en-GB" w:eastAsia="fr-FR"/>
        </w:rPr>
        <w:t xml:space="preserve"> IndustriAll Europe od wielu lat w kilku dokumentach programowych (Link:</w:t>
      </w:r>
      <w:hyperlink w:history="1" r:id="rId14">
        <w:r w:rsidRPr="00224957" w:rsidR="00D67808">
          <w:rPr>
            <w:rStyle w:val="Hyperlink"/>
            <w:rFonts w:ascii="Calibri" w:hAnsi="Calibri" w:eastAsia="Times New Roman" w:cs="Calibri"/>
            <w:sz w:val="22"/>
            <w:szCs w:val="22"/>
            <w:lang w:val="en-GB" w:eastAsia="fr-FR"/>
          </w:rPr>
          <w:t xml:space="preserve"> https://news.industriall-europe.eu/p/position-papers</w:t>
        </w:r>
      </w:hyperlink>
      <w:r>
        <w:rPr>
          <w:rFonts w:ascii="Calibri" w:hAnsi="Calibri" w:eastAsia="Times New Roman" w:cs="Calibri"/>
          <w:sz w:val="22"/>
          <w:szCs w:val="22"/>
          <w:lang w:val="en-GB" w:eastAsia="fr-FR"/>
        </w:rPr>
        <w:t xml:space="preserve">)</w:t>
      </w:r>
      <w:r>
        <w:rPr>
          <w:rFonts w:ascii="Calibri" w:hAnsi="Calibri" w:eastAsia="Times New Roman" w:cs="Calibri"/>
          <w:sz w:val="22"/>
          <w:szCs w:val="22"/>
          <w:lang w:val="en-GB" w:eastAsia="fr-FR"/>
        </w:rPr>
        <w:t xml:space="preserve"> wzywa do opracowania silnej strategii przemysłowej na szczeblu europejskim</w:t>
      </w:r>
      <w:r>
        <w:rPr>
          <w:rFonts w:ascii="Calibri" w:hAnsi="Calibri" w:eastAsia="Times New Roman" w:cs="Calibri"/>
          <w:sz w:val="22"/>
          <w:szCs w:val="22"/>
          <w:lang w:val="en-GB" w:eastAsia="fr-FR"/>
        </w:rPr>
        <w:t xml:space="preserve">. </w:t>
      </w:r>
      <w:r>
        <w:rPr>
          <w:rFonts w:ascii="Calibri" w:hAnsi="Calibri" w:eastAsia="Times New Roman" w:cs="Calibri"/>
          <w:sz w:val="22"/>
          <w:szCs w:val="22"/>
          <w:lang w:val="en-GB" w:eastAsia="fr-FR"/>
        </w:rPr>
        <w:t xml:space="preserve">Spójna strategia przemysłowa ma charakter nadrzędny i jest priorytetem, ponieważ </w:t>
      </w:r>
      <w:r>
        <w:rPr>
          <w:rFonts w:ascii="Calibri" w:hAnsi="Calibri" w:eastAsia="Times New Roman" w:cs="Calibri"/>
          <w:sz w:val="22"/>
          <w:szCs w:val="22"/>
          <w:lang w:eastAsia="fr-FR"/>
        </w:rPr>
        <w:t xml:space="preserve">od niej zależy</w:t>
      </w:r>
      <w:r w:rsidRPr="00A83857">
        <w:rPr>
          <w:rFonts w:ascii="Calibri" w:hAnsi="Calibri" w:eastAsia="Times New Roman" w:cs="Calibri"/>
          <w:sz w:val="22"/>
          <w:szCs w:val="22"/>
          <w:lang w:eastAsia="fr-FR"/>
        </w:rPr>
        <w:t xml:space="preserve"> europejski przemysł obronny</w:t>
      </w:r>
      <w:r>
        <w:rPr>
          <w:rFonts w:ascii="Calibri" w:hAnsi="Calibri" w:eastAsia="Times New Roman" w:cs="Calibri"/>
          <w:sz w:val="22"/>
          <w:szCs w:val="22"/>
          <w:lang w:eastAsia="fr-FR"/>
        </w:rPr>
        <w:t xml:space="preserve">. </w:t>
      </w:r>
      <w:r w:rsidRPr="00A83857">
        <w:rPr>
          <w:rFonts w:ascii="Calibri" w:hAnsi="Calibri" w:eastAsia="Times New Roman" w:cs="Calibri"/>
          <w:sz w:val="22"/>
          <w:szCs w:val="22"/>
          <w:lang w:eastAsia="fr-FR"/>
        </w:rPr>
        <w:t xml:space="preserve">UE musi inwestować w cały, całościowy łańcuch wartości oraz utrzymać produkcję przemysłową zapewniającą wysokiej jakości miejsca pracy na kontynencie.</w:t>
      </w:r>
      <w:r w:rsidRPr="00A83857">
        <w:rPr>
          <w:rStyle w:val="FootnoteReference"/>
          <w:rFonts w:ascii="Calibri" w:hAnsi="Calibri" w:eastAsia="Times New Roman" w:cs="Calibri"/>
          <w:sz w:val="22"/>
          <w:szCs w:val="22"/>
          <w:lang w:eastAsia="fr-FR"/>
        </w:rPr>
        <w:footnoteReference w:id="1"/>
      </w:r>
    </w:p>
    <w:p w:rsidRPr="00A83857" w:rsidR="002707B0" w:rsidP="00064BC2" w:rsidRDefault="002707B0" w14:paraId="1A2B41B8" w14:textId="77777777">
      <w:pPr>
        <w:contextualSpacing/>
        <w:jc w:val="both"/>
        <w:rPr>
          <w:rFonts w:ascii="Calibri" w:hAnsi="Calibri" w:eastAsia="Times New Roman" w:cs="Calibri"/>
          <w:sz w:val="22"/>
          <w:szCs w:val="22"/>
          <w:lang w:eastAsia="fr-FR"/>
        </w:rPr>
      </w:pPr>
    </w:p>
    <w:p w:rsidRPr="00A83857" w:rsidR="002707B0" w:rsidP="00064BC2" w:rsidRDefault="002707B0" w14:paraId="0884F1EF" w14:textId="709357AF">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t xml:space="preserve">Dlatego też IndustriAll Europe wzywa do przeprowadzenia całościowej analizy sektora i jego łańcucha dostaw, a następnie do przedstawienia realistycznych propozycji, które mogą uzyskać poparcie pracowników. </w:t>
      </w:r>
    </w:p>
    <w:p w:rsidRPr="00A83857" w:rsidR="002707B0" w:rsidP="00064BC2" w:rsidRDefault="002707B0" w14:paraId="6F42193D" w14:textId="77777777">
      <w:pPr>
        <w:contextualSpacing/>
        <w:jc w:val="both"/>
        <w:rPr>
          <w:rFonts w:ascii="Calibri" w:hAnsi="Calibri" w:eastAsia="Times New Roman" w:cs="Calibri"/>
          <w:sz w:val="22"/>
          <w:szCs w:val="22"/>
          <w:lang w:eastAsia="fr-FR"/>
        </w:rPr>
      </w:pPr>
    </w:p>
    <w:p w:rsidRPr="00A83857" w:rsidR="002707B0" w:rsidP="00064BC2" w:rsidRDefault="002707B0" w14:paraId="55CF3AEF" w14:textId="77777777">
      <w:pPr>
        <w:contextualSpacing/>
        <w:jc w:val="both"/>
        <w:rPr>
          <w:rFonts w:ascii="Calibri" w:hAnsi="Calibri" w:eastAsia="Times New Roman" w:cs="Calibri"/>
          <w:sz w:val="22"/>
          <w:szCs w:val="22"/>
          <w:lang w:val="en-US" w:eastAsia="fr-FR"/>
        </w:rPr>
      </w:pPr>
      <w:r w:rsidRPr="00A83857">
        <w:rPr>
          <w:rFonts w:ascii="Calibri" w:hAnsi="Calibri" w:eastAsia="Times New Roman" w:cs="Calibri"/>
          <w:sz w:val="22"/>
          <w:szCs w:val="22"/>
          <w:lang w:val="en-US" w:eastAsia="fr-FR"/>
        </w:rPr>
        <w:t xml:space="preserve">Obecne propozycje Komisji skupiają się głównie na zwiększeniu inwestycji wyłącznie w </w:t>
      </w:r>
      <w:r w:rsidRPr="00A83857">
        <w:rPr>
          <w:rFonts w:ascii="Calibri" w:hAnsi="Calibri" w:eastAsia="Times New Roman" w:cs="Calibri"/>
          <w:sz w:val="22"/>
          <w:szCs w:val="22"/>
          <w:lang w:val="en-US" w:eastAsia="fr-FR"/>
        </w:rPr>
        <w:t xml:space="preserve">sektorze obronnym</w:t>
      </w:r>
      <w:r w:rsidRPr="00A83857">
        <w:rPr>
          <w:rFonts w:ascii="Calibri" w:hAnsi="Calibri" w:eastAsia="Times New Roman" w:cs="Calibri"/>
          <w:sz w:val="22"/>
          <w:szCs w:val="22"/>
          <w:lang w:val="en-US" w:eastAsia="fr-FR"/>
        </w:rPr>
        <w:t xml:space="preserve">. Stwarza to </w:t>
      </w:r>
      <w:r w:rsidRPr="00A83857">
        <w:rPr>
          <w:rFonts w:ascii="Calibri" w:hAnsi="Calibri" w:eastAsia="Times New Roman" w:cs="Calibri"/>
          <w:b/>
          <w:bCs/>
          <w:sz w:val="22"/>
          <w:szCs w:val="22"/>
          <w:lang w:val="en-US" w:eastAsia="fr-FR"/>
        </w:rPr>
        <w:t xml:space="preserve">ryzyko, że środki zostaną przeznaczone głównie na zakup łatwo dostępnego sprzętu z krajów trzecich, zamiast na produkty wytwarzane w Europie, </w:t>
      </w:r>
      <w:r w:rsidRPr="00A83857">
        <w:rPr>
          <w:rFonts w:ascii="Calibri" w:hAnsi="Calibri" w:eastAsia="Times New Roman" w:cs="Calibri"/>
          <w:b/>
          <w:bCs/>
          <w:sz w:val="22"/>
          <w:szCs w:val="22"/>
          <w:lang w:val="en-US" w:eastAsia="fr-FR"/>
        </w:rPr>
        <w:t xml:space="preserve">w szczególności z </w:t>
      </w:r>
      <w:r w:rsidRPr="00A83857">
        <w:rPr>
          <w:rFonts w:ascii="Calibri" w:hAnsi="Calibri" w:eastAsia="Times New Roman" w:cs="Calibri"/>
          <w:b/>
          <w:bCs/>
          <w:sz w:val="22"/>
          <w:szCs w:val="22"/>
          <w:lang w:val="en-US" w:eastAsia="fr-FR"/>
        </w:rPr>
        <w:t xml:space="preserve">USA. </w:t>
      </w:r>
      <w:r w:rsidRPr="00A83857">
        <w:rPr>
          <w:rFonts w:ascii="Calibri" w:hAnsi="Calibri" w:eastAsia="Times New Roman" w:cs="Calibri"/>
          <w:sz w:val="22"/>
          <w:szCs w:val="22"/>
          <w:lang w:val="en-US" w:eastAsia="fr-FR"/>
        </w:rPr>
        <w:t xml:space="preserve">Jednak </w:t>
      </w:r>
      <w:r w:rsidRPr="00A83857">
        <w:rPr>
          <w:rFonts w:ascii="Calibri" w:hAnsi="Calibri" w:eastAsia="Segoe UI" w:cs="Calibri"/>
          <w:color w:val="242424"/>
          <w:sz w:val="22"/>
          <w:szCs w:val="22"/>
          <w:lang w:val="en-US"/>
        </w:rPr>
        <w:t xml:space="preserve">zmniejszenie zależności od systemów amerykańskich </w:t>
      </w:r>
      <w:r w:rsidRPr="00A83857">
        <w:rPr>
          <w:rFonts w:ascii="Calibri" w:hAnsi="Calibri" w:eastAsia="Segoe UI" w:cs="Calibri"/>
          <w:color w:val="242424"/>
          <w:sz w:val="22"/>
          <w:szCs w:val="22"/>
          <w:lang w:val="en-US"/>
        </w:rPr>
        <w:t xml:space="preserve">stanowi szczególne </w:t>
      </w:r>
      <w:r w:rsidRPr="00A83857">
        <w:rPr>
          <w:rFonts w:ascii="Calibri" w:hAnsi="Calibri" w:eastAsia="Segoe UI" w:cs="Calibri"/>
          <w:color w:val="242424"/>
          <w:sz w:val="22"/>
          <w:szCs w:val="22"/>
          <w:lang w:val="en-US"/>
        </w:rPr>
        <w:t xml:space="preserve">wyzwanie</w:t>
      </w:r>
      <w:r w:rsidRPr="00A83857">
        <w:rPr>
          <w:rFonts w:ascii="Calibri" w:hAnsi="Calibri" w:eastAsia="Times New Roman" w:cs="Calibri"/>
          <w:sz w:val="22"/>
          <w:szCs w:val="22"/>
          <w:lang w:val="en-US" w:eastAsia="fr-FR"/>
        </w:rPr>
        <w:t xml:space="preserve">, </w:t>
      </w:r>
      <w:r w:rsidRPr="00A83857">
        <w:rPr>
          <w:rFonts w:ascii="Calibri" w:hAnsi="Calibri" w:eastAsia="Times New Roman" w:cs="Calibri"/>
          <w:sz w:val="22"/>
          <w:szCs w:val="22"/>
          <w:lang w:val="en-US" w:eastAsia="fr-FR"/>
        </w:rPr>
        <w:t xml:space="preserve">biorąc pod uwagę, że europejscy producenci często </w:t>
      </w:r>
      <w:r w:rsidRPr="00A83857">
        <w:rPr>
          <w:rFonts w:ascii="Calibri" w:hAnsi="Calibri" w:eastAsia="Times New Roman" w:cs="Calibri"/>
          <w:sz w:val="22"/>
          <w:szCs w:val="22"/>
          <w:lang w:val="en-US" w:eastAsia="fr-FR"/>
        </w:rPr>
        <w:t xml:space="preserve">pozostają w tyle</w:t>
      </w:r>
      <w:r w:rsidRPr="00A83857">
        <w:rPr>
          <w:rFonts w:ascii="Calibri" w:hAnsi="Calibri" w:eastAsia="Times New Roman" w:cs="Calibri"/>
          <w:sz w:val="22"/>
          <w:szCs w:val="22"/>
          <w:lang w:val="en-US" w:eastAsia="fr-FR"/>
        </w:rPr>
        <w:t xml:space="preserve">, zwłaszcza z powodu złożonych etapów wspólnych prac rozwojowych, kwestii związanych z korzyściami geograficznymi, a także fragmentacji i konkurencji na rynku wewnętrznym. Tymczasem sprzęt amerykański jest łatwo dostępny i często stanowi standard NATO. Oprócz coraz częstszego wykorzystywania sprzętu amerykańskiego obserwuje się obecnie również przełom ze strony konkurentów z krajów trzecich, zwłaszcza z Korei Południowej i Turcji (około 78% zakupów pochodziło od dostawców spoza Europy). </w:t>
      </w:r>
    </w:p>
    <w:p w:rsidRPr="00A83857" w:rsidR="002707B0" w:rsidP="00064BC2" w:rsidRDefault="002707B0" w14:paraId="0A14D3BF" w14:textId="77777777">
      <w:pPr>
        <w:contextualSpacing/>
        <w:jc w:val="both"/>
        <w:rPr>
          <w:rFonts w:ascii="Calibri" w:hAnsi="Calibri" w:eastAsia="Times New Roman" w:cs="Calibri"/>
          <w:sz w:val="22"/>
          <w:szCs w:val="22"/>
          <w:lang w:eastAsia="fr-FR"/>
        </w:rPr>
      </w:pPr>
    </w:p>
    <w:p w:rsidRPr="00A83857" w:rsidR="002707B0" w:rsidP="00064BC2" w:rsidRDefault="002707B0" w14:paraId="5C0BEF99" w14:textId="77777777">
      <w:pPr>
        <w:contextualSpacing/>
        <w:jc w:val="both"/>
        <w:rPr>
          <w:rFonts w:ascii="Calibri" w:hAnsi="Calibri" w:eastAsia="Times New Roman" w:cs="Calibri"/>
          <w:sz w:val="22"/>
          <w:szCs w:val="22"/>
          <w:lang w:eastAsia="fr-FR"/>
        </w:rPr>
      </w:pPr>
      <w:r w:rsidRPr="00A83857">
        <w:rPr>
          <w:rFonts w:ascii="Calibri" w:hAnsi="Calibri" w:eastAsia="Times New Roman" w:cs="Calibri"/>
          <w:sz w:val="22"/>
          <w:szCs w:val="22"/>
          <w:lang w:eastAsia="fr-FR"/>
        </w:rPr>
        <w:t xml:space="preserve">Nowe inicjatywy UE dotyczące finansowania obronności są przewidziane w najbliższej przyszłości i mają bardzo napięte terminy. Stanowi to dużą przeszkodę dla europejskiego przemysłu obronnego (EDTIB), który przez dziesięciolecia borykał się z niedoinwestowaniem i fragmentacją. Rozbudowa zdolności produkcyjnych w europejskim sektorze obronnym wymaga budowy nowych obiektów, inwestycji w nowoczesny sprzęt, a także rekrutacji i szkolenia pracowników. Wszystko to wymaga czasu i stabilnych, długoterminowych zobowiązań. W ramach </w:t>
      </w:r>
      <w:r w:rsidRPr="00A83857">
        <w:rPr>
          <w:rFonts w:ascii="Calibri" w:hAnsi="Calibri" w:eastAsia="Times New Roman" w:cs="Calibri"/>
          <w:sz w:val="22"/>
          <w:szCs w:val="22"/>
          <w:lang w:eastAsia="fr-FR"/>
        </w:rPr>
        <w:t xml:space="preserve">inicjatywy</w:t>
      </w:r>
      <w:hyperlink r:id="rId15">
        <w:r w:rsidRPr="00A83857">
          <w:rPr>
            <w:rStyle w:val="Hyperlink"/>
            <w:rFonts w:ascii="Calibri" w:hAnsi="Calibri" w:eastAsia="Times New Roman" w:cs="Calibri"/>
            <w:sz w:val="22"/>
            <w:szCs w:val="22"/>
            <w:lang w:val="en-GB" w:eastAsia="fr-FR"/>
          </w:rPr>
          <w:t xml:space="preserve"> „ReArm</w:t>
        </w:r>
      </w:hyperlink>
      <w:r w:rsidRPr="00A83857">
        <w:rPr>
          <w:rFonts w:ascii="Calibri" w:hAnsi="Calibri" w:eastAsia="Times New Roman" w:cs="Calibri"/>
          <w:sz w:val="22"/>
          <w:szCs w:val="22"/>
          <w:lang w:eastAsia="fr-FR"/>
        </w:rPr>
        <w:t xml:space="preserve"> Europe” Komisja oferuje państwom członkowskim możliwość uruchomienia krajowej klauzuli wyjścia, aby </w:t>
      </w:r>
      <w:r w:rsidRPr="00A83857">
        <w:rPr>
          <w:rFonts w:ascii="Calibri" w:hAnsi="Calibri" w:eastAsia="Times New Roman" w:cs="Calibri"/>
          <w:sz w:val="22"/>
          <w:szCs w:val="22"/>
          <w:lang w:eastAsia="fr-FR"/>
        </w:rPr>
        <w:t xml:space="preserve">w ciągu najbliższych czterech lat </w:t>
      </w:r>
      <w:r w:rsidRPr="00A83857">
        <w:rPr>
          <w:rFonts w:ascii="Calibri" w:hAnsi="Calibri" w:eastAsia="Times New Roman" w:cs="Calibri"/>
          <w:sz w:val="22"/>
          <w:szCs w:val="22"/>
          <w:lang w:eastAsia="fr-FR"/>
        </w:rPr>
        <w:t xml:space="preserve">zwolnić inwestycje w sektorze obronnym w wysokości do 1,5% PKB z rygorystycznych zasad fiskalnych </w:t>
      </w:r>
      <w:r w:rsidRPr="00A83857">
        <w:rPr>
          <w:rFonts w:ascii="Calibri" w:hAnsi="Calibri" w:eastAsia="Times New Roman" w:cs="Calibri"/>
          <w:sz w:val="22"/>
          <w:szCs w:val="22"/>
          <w:lang w:val="en-US" w:eastAsia="fr-FR"/>
        </w:rPr>
        <w:t xml:space="preserve">(3% deficytu, 60% długu)</w:t>
      </w:r>
      <w:r w:rsidRPr="00A83857">
        <w:rPr>
          <w:rFonts w:ascii="Calibri" w:hAnsi="Calibri" w:eastAsia="Times New Roman" w:cs="Calibri"/>
          <w:sz w:val="22"/>
          <w:szCs w:val="22"/>
          <w:lang w:eastAsia="fr-FR"/>
        </w:rPr>
        <w:t xml:space="preserve">. Sektor obronny funkcjonuje jednak w horyzontach czasowych wynoszących 10, 15 i 20 lat lub dłuższych. Dotyczy to również planu Komisji Europejskiej dotyczącego przekwalifikowania 200 000 pracowników do 2026 r. oraz 600 000 do 2030 r. w branżach związanych z obronnością.</w:t>
      </w:r>
    </w:p>
    <w:p w:rsidRPr="00A83857" w:rsidR="002707B0" w:rsidP="00064BC2" w:rsidRDefault="002707B0" w14:paraId="50F396AD" w14:textId="77777777">
      <w:pPr>
        <w:pStyle w:val="NormalWeb"/>
        <w:contextualSpacing/>
        <w:jc w:val="both"/>
        <w:rPr>
          <w:rFonts w:ascii="Calibri" w:hAnsi="Calibri" w:cs="Calibri"/>
          <w:sz w:val="22"/>
          <w:szCs w:val="22"/>
          <w:lang w:val="en-US"/>
        </w:rPr>
      </w:pPr>
      <w:r w:rsidRPr="00A83857">
        <w:rPr>
          <w:rFonts w:ascii="Calibri" w:hAnsi="Calibri" w:cs="Calibri"/>
          <w:sz w:val="22"/>
          <w:szCs w:val="22"/>
          <w:lang w:val="en-US"/>
        </w:rPr>
        <w:t xml:space="preserve">Technologie podwójnego zastosowania — od sztucznej inteligencji i zaawansowanych materiałów po systemy satelitarne, technologie kwantowe, innowacje w sektorze lotniczo-kosmicznym oraz drony — mają obecnie kluczowe znaczenie dla strategicznej autonomii i potęgi przemysłowej Europy. Ponieważ technologie te służą zarówno </w:t>
      </w:r>
      <w:r w:rsidRPr="00A83857">
        <w:rPr>
          <w:rFonts w:ascii="Calibri" w:hAnsi="Calibri" w:cs="Calibri"/>
          <w:sz w:val="22"/>
          <w:szCs w:val="22"/>
          <w:lang w:val="en-US"/>
        </w:rPr>
        <w:t xml:space="preserve">celom </w:t>
      </w:r>
      <w:r w:rsidRPr="00A83857">
        <w:rPr>
          <w:rFonts w:ascii="Calibri" w:hAnsi="Calibri" w:cs="Calibri"/>
          <w:sz w:val="22"/>
          <w:szCs w:val="22"/>
          <w:lang w:val="en-US"/>
        </w:rPr>
        <w:t xml:space="preserve">cywilnym, jak i </w:t>
      </w:r>
      <w:r w:rsidRPr="00A83857">
        <w:rPr>
          <w:rFonts w:ascii="Calibri" w:hAnsi="Calibri" w:cs="Calibri"/>
          <w:sz w:val="22"/>
          <w:szCs w:val="22"/>
          <w:lang w:val="en-US"/>
        </w:rPr>
        <w:t xml:space="preserve">obronnym</w:t>
      </w:r>
      <w:r w:rsidRPr="00A83857">
        <w:rPr>
          <w:rFonts w:ascii="Calibri" w:hAnsi="Calibri" w:cs="Calibri"/>
          <w:sz w:val="22"/>
          <w:szCs w:val="22"/>
          <w:lang w:val="en-US"/>
        </w:rPr>
        <w:t xml:space="preserve">, wymagają one przewidywalnych, </w:t>
      </w:r>
      <w:r w:rsidRPr="00A83857">
        <w:rPr>
          <w:rFonts w:ascii="Calibri" w:hAnsi="Calibri" w:cs="Calibri"/>
          <w:sz w:val="22"/>
          <w:szCs w:val="22"/>
          <w:lang w:val="en-US"/>
        </w:rPr>
        <w:t xml:space="preserve">długoterminowych sygnałów planistycznych</w:t>
      </w:r>
      <w:r w:rsidRPr="00A83857">
        <w:rPr>
          <w:rFonts w:ascii="Calibri" w:hAnsi="Calibri" w:cs="Calibri"/>
          <w:sz w:val="22"/>
          <w:szCs w:val="22"/>
          <w:lang w:val="en-US"/>
        </w:rPr>
        <w:t xml:space="preserve">,</w:t>
      </w:r>
      <w:r w:rsidRPr="00A83857">
        <w:rPr>
          <w:rFonts w:ascii="Calibri" w:hAnsi="Calibri" w:cs="Calibri"/>
          <w:sz w:val="22"/>
          <w:szCs w:val="22"/>
          <w:lang w:val="en-US"/>
        </w:rPr>
        <w:t xml:space="preserve"> a nie </w:t>
      </w:r>
      <w:r w:rsidRPr="00A83857">
        <w:rPr>
          <w:rFonts w:ascii="Calibri" w:hAnsi="Calibri" w:cs="Calibri"/>
          <w:sz w:val="22"/>
          <w:szCs w:val="22"/>
          <w:lang w:val="en-US"/>
        </w:rPr>
        <w:t xml:space="preserve">krótkoterminowych </w:t>
      </w:r>
      <w:r w:rsidRPr="00A83857">
        <w:rPr>
          <w:rFonts w:ascii="Calibri" w:hAnsi="Calibri" w:cs="Calibri"/>
          <w:sz w:val="22"/>
          <w:szCs w:val="22"/>
          <w:lang w:val="en-US"/>
        </w:rPr>
        <w:t xml:space="preserve">cykli zamówień wynikających z sytuacji konfliktowych. Polityka publiczna musi zatem zapewnić </w:t>
      </w:r>
      <w:r w:rsidRPr="00A83857">
        <w:rPr>
          <w:rFonts w:ascii="Calibri" w:hAnsi="Calibri" w:cs="Calibri"/>
          <w:sz w:val="22"/>
          <w:szCs w:val="22"/>
          <w:lang w:val="en-US"/>
        </w:rPr>
        <w:t xml:space="preserve">długoterminowy rozwój przemysłowy poprzez wspieranie stabilnych inwestycji w infrastrukturę, umiejętności i potencjał technologiczny. Oznacza to również wzmocnienie szerszej bazy przemysłowej Europy, w tym w sektorach metalowym, chemicznym i elektronicznym. Jednocześnie Europa musi opracować </w:t>
      </w:r>
      <w:r w:rsidRPr="00A83857">
        <w:rPr>
          <w:rFonts w:ascii="Calibri" w:hAnsi="Calibri" w:cs="Calibri"/>
          <w:sz w:val="22"/>
          <w:szCs w:val="22"/>
          <w:lang w:val="en-US"/>
        </w:rPr>
        <w:t xml:space="preserve">zharmonizowane </w:t>
      </w:r>
      <w:r w:rsidRPr="00A83857">
        <w:rPr>
          <w:rFonts w:ascii="Calibri" w:hAnsi="Calibri" w:cs="Calibri"/>
          <w:sz w:val="22"/>
          <w:szCs w:val="22"/>
          <w:lang w:val="en-US"/>
        </w:rPr>
        <w:t xml:space="preserve">normy i ramy regulacyjne, które ograniczą fragmentację, wzmocnią MŚP oraz zapobiegną konkurencji opartej na nieodpowiednich praktykach społecznych lub środowiskowych. Wspólne normy techniczne, szkoleniowe i bezpieczeństwa ułatwią przedsiębiorstwom i pracownikom działanie zarówno </w:t>
      </w:r>
      <w:r w:rsidRPr="00A83857">
        <w:rPr>
          <w:rFonts w:ascii="Calibri" w:hAnsi="Calibri" w:cs="Calibri"/>
          <w:sz w:val="22"/>
          <w:szCs w:val="22"/>
          <w:lang w:val="en-US"/>
        </w:rPr>
        <w:t xml:space="preserve">na rynku </w:t>
      </w:r>
      <w:r w:rsidRPr="00A83857">
        <w:rPr>
          <w:rFonts w:ascii="Calibri" w:hAnsi="Calibri" w:cs="Calibri"/>
          <w:sz w:val="22"/>
          <w:szCs w:val="22"/>
          <w:lang w:val="en-US"/>
        </w:rPr>
        <w:t xml:space="preserve">cywilnym</w:t>
      </w:r>
      <w:r w:rsidRPr="00A83857">
        <w:rPr>
          <w:rFonts w:ascii="Calibri" w:hAnsi="Calibri" w:cs="Calibri"/>
          <w:sz w:val="22"/>
          <w:szCs w:val="22"/>
          <w:lang w:val="en-US"/>
        </w:rPr>
        <w:t xml:space="preserve">,</w:t>
      </w:r>
      <w:r w:rsidRPr="00A83857">
        <w:rPr>
          <w:rFonts w:ascii="Calibri" w:hAnsi="Calibri" w:cs="Calibri"/>
          <w:sz w:val="22"/>
          <w:szCs w:val="22"/>
          <w:lang w:val="en-US"/>
        </w:rPr>
        <w:t xml:space="preserve"> jak i </w:t>
      </w:r>
      <w:r w:rsidRPr="00A83857">
        <w:rPr>
          <w:rFonts w:ascii="Calibri" w:hAnsi="Calibri" w:cs="Calibri"/>
          <w:sz w:val="22"/>
          <w:szCs w:val="22"/>
          <w:lang w:val="en-US"/>
        </w:rPr>
        <w:t xml:space="preserve">obronnym</w:t>
      </w:r>
      <w:r w:rsidRPr="00A83857">
        <w:rPr>
          <w:rFonts w:ascii="Calibri" w:hAnsi="Calibri" w:cs="Calibri"/>
          <w:sz w:val="22"/>
          <w:szCs w:val="22"/>
          <w:lang w:val="en-US"/>
        </w:rPr>
        <w:t xml:space="preserve">, wspierając jednocześnie mobilność i innowacje w ramach </w:t>
      </w:r>
      <w:r w:rsidRPr="00A83857">
        <w:rPr>
          <w:rFonts w:ascii="Calibri" w:hAnsi="Calibri" w:cs="Calibri"/>
          <w:sz w:val="22"/>
          <w:szCs w:val="22"/>
          <w:lang w:val="en-US"/>
        </w:rPr>
        <w:t xml:space="preserve">ekosystemu produktów podwójnego zastosowania. Aby zapewnić, że obecny wzrost </w:t>
      </w:r>
      <w:r w:rsidRPr="00A83857">
        <w:rPr>
          <w:rFonts w:ascii="Calibri" w:hAnsi="Calibri" w:cs="Calibri"/>
          <w:sz w:val="22"/>
          <w:szCs w:val="22"/>
          <w:lang w:val="en-US"/>
        </w:rPr>
        <w:t xml:space="preserve">wydatków</w:t>
      </w:r>
      <w:r w:rsidRPr="00A83857">
        <w:rPr>
          <w:rFonts w:ascii="Calibri" w:hAnsi="Calibri" w:cs="Calibri"/>
          <w:sz w:val="22"/>
          <w:szCs w:val="22"/>
          <w:lang w:val="en-US"/>
        </w:rPr>
        <w:t xml:space="preserve"> na </w:t>
      </w:r>
      <w:r w:rsidRPr="00A83857">
        <w:rPr>
          <w:rFonts w:ascii="Calibri" w:hAnsi="Calibri" w:cs="Calibri"/>
          <w:sz w:val="22"/>
          <w:szCs w:val="22"/>
          <w:lang w:val="en-US"/>
        </w:rPr>
        <w:t xml:space="preserve">obronność </w:t>
      </w:r>
      <w:r w:rsidRPr="00A83857">
        <w:rPr>
          <w:rFonts w:ascii="Calibri" w:hAnsi="Calibri" w:cs="Calibri"/>
          <w:sz w:val="22"/>
          <w:szCs w:val="22"/>
          <w:lang w:val="en-US"/>
        </w:rPr>
        <w:t xml:space="preserve">przełoży się na trwałą odporność przemysłową, a nie na tymczasowe ożywienie, Europa potrzebuje skoordynowanych działań w zakresie umiejętności, narzędzi finansowania i polityki przemysłowej – opartych na silnych </w:t>
      </w:r>
      <w:r w:rsidRPr="00A83857">
        <w:rPr>
          <w:rFonts w:ascii="Calibri" w:hAnsi="Calibri" w:cs="Calibri"/>
          <w:sz w:val="22"/>
          <w:szCs w:val="22"/>
          <w:lang w:val="en-US"/>
        </w:rPr>
        <w:t xml:space="preserve">warunkach </w:t>
      </w:r>
      <w:r w:rsidRPr="00A83857">
        <w:rPr>
          <w:rFonts w:ascii="Calibri" w:hAnsi="Calibri" w:cs="Calibri"/>
          <w:sz w:val="22"/>
          <w:szCs w:val="22"/>
          <w:lang w:val="en-US"/>
        </w:rPr>
        <w:t xml:space="preserve">społecznych i </w:t>
      </w:r>
      <w:r w:rsidRPr="00A83857">
        <w:rPr>
          <w:rFonts w:ascii="Calibri" w:hAnsi="Calibri" w:cs="Calibri"/>
          <w:sz w:val="22"/>
          <w:szCs w:val="22"/>
          <w:lang w:val="en-US"/>
        </w:rPr>
        <w:t xml:space="preserve">dotyczących lokalnej zawartości. </w:t>
      </w:r>
    </w:p>
    <w:p w:rsidR="002707B0" w:rsidP="00064BC2" w:rsidRDefault="002707B0" w14:paraId="2BE83960" w14:textId="77777777">
      <w:pPr>
        <w:pStyle w:val="NormalWeb"/>
        <w:contextualSpacing/>
        <w:jc w:val="both"/>
        <w:rPr>
          <w:rFonts w:ascii="Calibri" w:hAnsi="Calibri" w:cs="Calibri"/>
          <w:b/>
          <w:bCs/>
          <w:sz w:val="22"/>
          <w:szCs w:val="22"/>
          <w:lang w:val="en-BE" w:eastAsia="fr-FR"/>
        </w:rPr>
      </w:pPr>
      <w:r w:rsidRPr="00A83857">
        <w:rPr>
          <w:rFonts w:ascii="Calibri" w:hAnsi="Calibri" w:cs="Calibri"/>
          <w:sz w:val="22"/>
          <w:szCs w:val="22"/>
          <w:lang w:val="en-US" w:eastAsia="fr-FR"/>
        </w:rPr>
        <w:t xml:space="preserve">W </w:t>
      </w:r>
      <w:r w:rsidRPr="00A83857">
        <w:rPr>
          <w:rFonts w:ascii="Calibri" w:hAnsi="Calibri" w:cs="Calibri"/>
          <w:sz w:val="22"/>
          <w:szCs w:val="22"/>
          <w:lang w:val="en-US" w:eastAsia="fr-FR"/>
        </w:rPr>
        <w:t xml:space="preserve">zdecydowanej większości </w:t>
      </w:r>
      <w:r w:rsidRPr="00A83857">
        <w:rPr>
          <w:rFonts w:ascii="Calibri" w:hAnsi="Calibri" w:cs="Calibri"/>
          <w:sz w:val="22"/>
          <w:szCs w:val="22"/>
          <w:lang w:val="en-US" w:eastAsia="fr-FR"/>
        </w:rPr>
        <w:t xml:space="preserve">krajów europejskich sektor EDTIB boryka się z </w:t>
      </w:r>
      <w:r w:rsidRPr="00A83857">
        <w:rPr>
          <w:rFonts w:ascii="Calibri" w:hAnsi="Calibri" w:cs="Calibri"/>
          <w:b/>
          <w:bCs/>
          <w:sz w:val="22"/>
          <w:szCs w:val="22"/>
          <w:lang w:val="en-US" w:eastAsia="fr-FR"/>
        </w:rPr>
        <w:t xml:space="preserve">trudnościami w pozyskiwaniu wykwalifikowanych pracowników, a zwłaszcza młodych pracowników. </w:t>
      </w:r>
      <w:r>
        <w:rPr>
          <w:rFonts w:ascii="Calibri" w:hAnsi="Calibri" w:cs="Calibri"/>
          <w:b/>
          <w:bCs/>
          <w:sz w:val="22"/>
          <w:szCs w:val="22"/>
          <w:lang w:val="en-BE" w:eastAsia="fr-FR"/>
        </w:rPr>
        <w:t xml:space="preserve">Na atrakcyjność sektora wpływa stabilność </w:t>
      </w:r>
      <w:r>
        <w:rPr>
          <w:rFonts w:ascii="Calibri" w:hAnsi="Calibri" w:cs="Calibri"/>
          <w:b/>
          <w:bCs/>
          <w:sz w:val="22"/>
          <w:szCs w:val="22"/>
          <w:lang w:val="en-BE" w:eastAsia="fr-FR"/>
        </w:rPr>
        <w:t xml:space="preserve">perspektyw zatrudnienia </w:t>
      </w:r>
      <w:r>
        <w:rPr>
          <w:rFonts w:ascii="Calibri" w:hAnsi="Calibri" w:cs="Calibri"/>
          <w:b/>
          <w:bCs/>
          <w:sz w:val="22"/>
          <w:szCs w:val="22"/>
          <w:lang w:val="en-BE" w:eastAsia="fr-FR"/>
        </w:rPr>
        <w:t xml:space="preserve">w ramach </w:t>
      </w:r>
      <w:r>
        <w:rPr>
          <w:rFonts w:ascii="Calibri" w:hAnsi="Calibri" w:cs="Calibri"/>
          <w:b/>
          <w:bCs/>
          <w:sz w:val="22"/>
          <w:szCs w:val="22"/>
          <w:lang w:val="en-BE" w:eastAsia="fr-FR"/>
        </w:rPr>
        <w:t xml:space="preserve">„</w:t>
      </w:r>
      <w:r>
        <w:rPr>
          <w:rFonts w:ascii="Calibri" w:hAnsi="Calibri" w:cs="Calibri"/>
          <w:b/>
          <w:bCs/>
          <w:sz w:val="22"/>
          <w:szCs w:val="22"/>
          <w:lang w:val="en-BE" w:eastAsia="fr-FR"/>
        </w:rPr>
        <w:lastRenderedPageBreak/>
      </w:r>
      <w:r>
        <w:rPr>
          <w:rFonts w:ascii="Calibri" w:hAnsi="Calibri" w:cs="Calibri"/>
          <w:b/>
          <w:bCs/>
          <w:sz w:val="22"/>
          <w:szCs w:val="22"/>
          <w:lang w:val="en-BE" w:eastAsia="fr-FR"/>
        </w:rPr>
        <w:t xml:space="preserve"> ”, która ucierpiała w wyniku dziesięcioleci niedoinwestowania. Niedawne zapowiedzi ogromnych inwestycji nie zmienią tej sytuacji z dnia na dzień, zwłaszcza jeśli doprowadzą one do </w:t>
      </w:r>
      <w:r>
        <w:rPr>
          <w:rFonts w:ascii="Calibri" w:hAnsi="Calibri" w:cs="Calibri"/>
          <w:b/>
          <w:bCs/>
          <w:sz w:val="22"/>
          <w:szCs w:val="22"/>
          <w:lang w:val="en-BE" w:eastAsia="fr-FR"/>
        </w:rPr>
        <w:t xml:space="preserve">wzrostu importu broni z krajów trzecich.   </w:t>
      </w:r>
    </w:p>
    <w:p w:rsidRPr="00A83857" w:rsidR="00064BC2" w:rsidP="00064BC2" w:rsidRDefault="00064BC2" w14:paraId="5DB48C88" w14:textId="77777777">
      <w:pPr>
        <w:pStyle w:val="NormalWeb"/>
        <w:contextualSpacing/>
        <w:jc w:val="both"/>
        <w:rPr>
          <w:rFonts w:ascii="Calibri" w:hAnsi="Calibri" w:cs="Calibri"/>
          <w:b/>
          <w:bCs/>
          <w:sz w:val="22"/>
          <w:szCs w:val="22"/>
          <w:lang w:val="en-BE" w:eastAsia="fr-FR"/>
        </w:rPr>
      </w:pPr>
    </w:p>
    <w:p w:rsidR="002707B0" w:rsidP="00064BC2" w:rsidRDefault="002707B0" w14:paraId="06EDD924" w14:textId="77777777">
      <w:pPr>
        <w:pStyle w:val="NormalWeb"/>
        <w:contextualSpacing/>
        <w:jc w:val="both"/>
        <w:rPr>
          <w:rFonts w:ascii="Calibri" w:hAnsi="Calibri" w:cs="Calibri"/>
          <w:b/>
          <w:bCs/>
          <w:sz w:val="22"/>
          <w:szCs w:val="22"/>
          <w:lang w:val="en-BE" w:eastAsia="fr-FR"/>
        </w:rPr>
      </w:pPr>
      <w:r w:rsidRPr="00A83857">
        <w:rPr>
          <w:rFonts w:ascii="Calibri" w:hAnsi="Calibri" w:cs="Calibri"/>
          <w:b/>
          <w:bCs/>
          <w:sz w:val="22"/>
          <w:szCs w:val="22"/>
          <w:lang w:val="en-BE" w:eastAsia="fr-FR"/>
        </w:rPr>
        <w:t xml:space="preserve">Jednocześnie wzrost produkcji nie może odbywać się kosztem praw pracowników. Związki zawodowe w kilku krajach europejskich informują, że intensyfikacja produkcji już teraz prowadzi do bardziej intensywnych trybów pracy – większej liczby zespołów, większej liczby zmian, a zwłaszcza większej liczby pracy nocnej – co znacznie zwiększa ryzyko wypadków. Równolegle rośnie zależność od pracowników tymczasowych, którzy często przechodzą ograniczone szkolenia i są mniej zaznajomieni z zasadami BHP, co dodatkowo zwiększa ryzyko zarówno dla nich samych, jak i dla ich współpracowników.</w:t>
      </w:r>
    </w:p>
    <w:p w:rsidRPr="00A83857" w:rsidR="00064BC2" w:rsidP="00064BC2" w:rsidRDefault="00064BC2" w14:paraId="3A025B4A" w14:textId="77777777">
      <w:pPr>
        <w:pStyle w:val="NormalWeb"/>
        <w:contextualSpacing/>
        <w:jc w:val="both"/>
        <w:rPr>
          <w:rFonts w:ascii="Calibri" w:hAnsi="Calibri" w:cs="Calibri"/>
          <w:b/>
          <w:bCs/>
          <w:sz w:val="22"/>
          <w:szCs w:val="22"/>
          <w:lang w:val="en-BE" w:eastAsia="fr-FR"/>
        </w:rPr>
      </w:pPr>
    </w:p>
    <w:p w:rsidRPr="00A83857" w:rsidR="002707B0" w:rsidP="00064BC2" w:rsidRDefault="002707B0" w14:paraId="6DAFF592" w14:textId="77777777">
      <w:pPr>
        <w:pStyle w:val="NormalWeb"/>
        <w:contextualSpacing/>
        <w:jc w:val="both"/>
        <w:rPr>
          <w:rFonts w:ascii="Calibri" w:hAnsi="Calibri" w:cs="Calibri"/>
          <w:b/>
          <w:bCs/>
          <w:sz w:val="22"/>
          <w:szCs w:val="22"/>
          <w:lang w:val="en-BE" w:eastAsia="fr-FR"/>
        </w:rPr>
      </w:pPr>
      <w:r w:rsidRPr="00A83857">
        <w:rPr>
          <w:rFonts w:ascii="Calibri" w:hAnsi="Calibri" w:cs="Calibri"/>
          <w:b/>
          <w:bCs/>
          <w:sz w:val="22"/>
          <w:szCs w:val="22"/>
          <w:lang w:val="en-BE" w:eastAsia="fr-FR"/>
        </w:rPr>
        <w:t xml:space="preserve">Zamiast wprowadzać wyjątki od przepisów dotyczących czasu pracy, rozwiązaniem jest zatrudnianie większej liczby pracowników poprzez oferowanie atrakcyjnych, wysokiej jakości miejsc pracy. Jest to szczególnie pilne ze względu na wysokie wymagania kwalifikacyjne w tym sektorze: nowi pracownicy potrzebują intensywnego szkolenia w miejscu pracy, zanim będą w pełni gotowi do działania. W perspektywie krótkoterminowej zwiększa to również obciążenie pracą i presję na doświadczonych pracowników, którzy muszą szkolić nowicjuszy równolegle do wykonywania swoich zwykłych obowiązków.</w:t>
      </w:r>
    </w:p>
    <w:p w:rsidRPr="00A83857" w:rsidR="002707B0" w:rsidP="00064BC2" w:rsidRDefault="002707B0" w14:paraId="126CC46C" w14:textId="77777777">
      <w:pPr>
        <w:contextualSpacing/>
        <w:jc w:val="both"/>
        <w:rPr>
          <w:rFonts w:ascii="Calibri" w:hAnsi="Calibri" w:cs="Calibri"/>
          <w:sz w:val="22"/>
          <w:szCs w:val="22"/>
        </w:rPr>
      </w:pPr>
      <w:r w:rsidRPr="00A83857">
        <w:rPr>
          <w:rFonts w:ascii="Calibri" w:hAnsi="Calibri" w:eastAsia="Times New Roman" w:cs="Calibri"/>
          <w:b/>
          <w:bCs/>
          <w:sz w:val="22"/>
          <w:szCs w:val="22"/>
          <w:lang w:eastAsia="fr-FR"/>
        </w:rPr>
        <w:t xml:space="preserve">Osiągnięcie celów obronnych UE wymaga wysokiej jakości miejsc pracy i atrakcyjnych warunków zatrudnienia, a nie deregulacji i niepewnego zatrudnienia. Uproszczenie nie jest panaceum, które pomoże UE osiągnąć jej nowe cele obronne. </w:t>
      </w:r>
      <w:r w:rsidRPr="00A83857">
        <w:rPr>
          <w:rFonts w:ascii="Calibri" w:hAnsi="Calibri" w:eastAsia="Times New Roman" w:cs="Calibri"/>
          <w:sz w:val="22"/>
          <w:szCs w:val="22"/>
          <w:lang w:eastAsia="fr-FR"/>
        </w:rPr>
        <w:t xml:space="preserve">Chociaż </w:t>
      </w:r>
      <w:r w:rsidRPr="00A83857">
        <w:rPr>
          <w:rFonts w:ascii="Calibri" w:hAnsi="Calibri" w:eastAsia="Times New Roman" w:cs="Calibri"/>
          <w:sz w:val="22"/>
          <w:szCs w:val="22"/>
          <w:lang w:eastAsia="fr-FR"/>
        </w:rPr>
        <w:t xml:space="preserve">industriAll </w:t>
      </w:r>
      <w:r w:rsidRPr="00A83857">
        <w:rPr>
          <w:rFonts w:ascii="Calibri" w:hAnsi="Calibri" w:eastAsia="Times New Roman" w:cs="Calibri"/>
          <w:sz w:val="22"/>
          <w:szCs w:val="22"/>
          <w:lang w:eastAsia="fr-FR"/>
        </w:rPr>
        <w:t xml:space="preserve">Europe nie sprzeciwia się uproszczeniu „nadmiernej regulacji” ani eliminacji powtórzeń, zdecydowanie sprzeciwiamy się deregulacji obowiązków w zakresie prawa pracy i zrównoważonego rozwoju. Jesteśmy bardzo </w:t>
      </w:r>
      <w:r w:rsidRPr="00A83857">
        <w:rPr>
          <w:rFonts w:ascii="Calibri" w:hAnsi="Calibri" w:eastAsia="Times New Roman" w:cs="Calibri"/>
          <w:sz w:val="22"/>
          <w:szCs w:val="22"/>
          <w:lang w:eastAsia="fr-FR"/>
        </w:rPr>
        <w:t xml:space="preserve">rozczarowani porozumieniem osiągniętym w sprawie </w:t>
      </w:r>
      <w:r w:rsidRPr="00A83857">
        <w:rPr>
          <w:rFonts w:ascii="Calibri" w:hAnsi="Calibri" w:eastAsia="Times New Roman" w:cs="Calibri"/>
          <w:b/>
          <w:bCs/>
          <w:sz w:val="22"/>
          <w:szCs w:val="22"/>
          <w:lang w:eastAsia="fr-FR"/>
        </w:rPr>
        <w:t xml:space="preserve">Europejskiego Programu Przemysłu Obronnego (EDIP)</w:t>
      </w:r>
      <w:r w:rsidRPr="00A83857">
        <w:rPr>
          <w:rFonts w:ascii="Calibri" w:hAnsi="Calibri" w:cs="Calibri"/>
          <w:b/>
          <w:bCs/>
          <w:sz w:val="22"/>
          <w:szCs w:val="22"/>
        </w:rPr>
        <w:t xml:space="preserve">, które </w:t>
      </w:r>
      <w:r w:rsidRPr="00A83857">
        <w:rPr>
          <w:rFonts w:ascii="Calibri" w:hAnsi="Calibri" w:eastAsia="Times New Roman" w:cs="Calibri"/>
          <w:b/>
          <w:bCs/>
          <w:sz w:val="22"/>
          <w:szCs w:val="22"/>
          <w:lang w:eastAsia="fr-FR"/>
        </w:rPr>
        <w:t xml:space="preserve">otwiera furtkę dla odstępstw od praw pracowniczych, </w:t>
      </w:r>
      <w:r w:rsidRPr="00A83857">
        <w:rPr>
          <w:rFonts w:ascii="Calibri" w:hAnsi="Calibri" w:eastAsia="Times New Roman" w:cs="Calibri"/>
          <w:b/>
          <w:bCs/>
          <w:sz w:val="22"/>
          <w:szCs w:val="22"/>
          <w:lang w:eastAsia="fr-FR"/>
        </w:rPr>
        <w:t xml:space="preserve">w szczególności w zakresie </w:t>
      </w:r>
      <w:r w:rsidRPr="00A83857">
        <w:rPr>
          <w:rFonts w:ascii="Calibri" w:hAnsi="Calibri" w:eastAsia="Times New Roman" w:cs="Calibri"/>
          <w:b/>
          <w:bCs/>
          <w:sz w:val="22"/>
          <w:szCs w:val="22"/>
          <w:lang w:eastAsia="fr-FR"/>
        </w:rPr>
        <w:t xml:space="preserve">czasu pracy. </w:t>
      </w:r>
      <w:r w:rsidRPr="00A83857">
        <w:rPr>
          <w:rFonts w:ascii="Calibri" w:hAnsi="Calibri" w:eastAsia="Times New Roman" w:cs="Calibri"/>
          <w:sz w:val="22"/>
          <w:szCs w:val="22"/>
          <w:lang w:eastAsia="fr-FR"/>
        </w:rPr>
        <w:t xml:space="preserve">IndustriAll Europe wraz z Europejską Konfederacją Związków Zawodowych (ETUC), Europejskim Związkiem Służb Publicznych (EPSU) oraz Europejską Federacją Pracowników Transportu (ETF) wystosowało pilne </w:t>
      </w:r>
      <w:hyperlink w:history="1" r:id="rId17">
        <w:r w:rsidRPr="00A83857">
          <w:rPr>
            <w:rStyle w:val="Hyperlink"/>
            <w:rFonts w:ascii="Calibri" w:hAnsi="Calibri" w:eastAsia="Times New Roman" w:cs="Calibri"/>
            <w:sz w:val="22"/>
            <w:szCs w:val="22"/>
            <w:lang w:eastAsia="fr-FR"/>
          </w:rPr>
          <w:t xml:space="preserve">wezwanie</w:t>
        </w:r>
      </w:hyperlink>
      <w:r w:rsidRPr="00A83857">
        <w:rPr>
          <w:rFonts w:ascii="Calibri" w:hAnsi="Calibri" w:eastAsia="Times New Roman" w:cs="Calibri"/>
          <w:sz w:val="22"/>
          <w:szCs w:val="22"/>
          <w:lang w:eastAsia="fr-FR"/>
        </w:rPr>
        <w:t xml:space="preserve"> przeciwko tekstowi kompromisowemu. </w:t>
      </w:r>
      <w:r w:rsidRPr="00A83857">
        <w:rPr>
          <w:rFonts w:ascii="Calibri" w:hAnsi="Calibri" w:eastAsia="Times New Roman" w:cs="Calibri"/>
          <w:sz w:val="22"/>
          <w:szCs w:val="22"/>
          <w:lang w:eastAsia="fr-FR"/>
        </w:rPr>
        <w:t xml:space="preserve">Niestety, wezwanie to spotkało się z obojętnością. </w:t>
      </w:r>
    </w:p>
    <w:p w:rsidRPr="00A83857" w:rsidR="002707B0" w:rsidP="00064BC2" w:rsidRDefault="002707B0" w14:paraId="71B829BD" w14:textId="77777777">
      <w:pPr>
        <w:contextualSpacing/>
        <w:jc w:val="both"/>
        <w:rPr>
          <w:rFonts w:ascii="Calibri" w:hAnsi="Calibri" w:cs="Calibri"/>
          <w:sz w:val="22"/>
          <w:szCs w:val="22"/>
        </w:rPr>
      </w:pPr>
    </w:p>
    <w:p w:rsidRPr="00A83857" w:rsidR="002707B0" w:rsidP="00064BC2" w:rsidRDefault="002707B0" w14:paraId="412634F1" w14:textId="77777777">
      <w:pPr>
        <w:contextualSpacing/>
        <w:jc w:val="both"/>
        <w:rPr>
          <w:rFonts w:ascii="Calibri" w:hAnsi="Calibri" w:eastAsia="Times New Roman" w:cs="Calibri"/>
          <w:sz w:val="22"/>
          <w:szCs w:val="22"/>
          <w:lang w:eastAsia="fr-FR"/>
        </w:rPr>
      </w:pPr>
      <w:r w:rsidRPr="00A83857">
        <w:rPr>
          <w:rFonts w:ascii="Calibri" w:hAnsi="Calibri" w:eastAsia="Times New Roman" w:cs="Calibri"/>
          <w:sz w:val="22"/>
          <w:szCs w:val="22"/>
          <w:lang w:eastAsia="fr-FR"/>
        </w:rPr>
        <w:t xml:space="preserve">Jesteśmy głęboko zaniepokojeni przepisami </w:t>
      </w:r>
      <w:r w:rsidRPr="00A83857">
        <w:rPr>
          <w:rFonts w:ascii="Calibri" w:hAnsi="Calibri" w:eastAsia="Times New Roman" w:cs="Calibri"/>
          <w:b/>
          <w:bCs/>
          <w:sz w:val="22"/>
          <w:szCs w:val="22"/>
          <w:lang w:eastAsia="fr-FR"/>
        </w:rPr>
        <w:t xml:space="preserve">EDIP zezwalającymi na odstępstwa od praw pracowniczych w produkcji tzw. „produktów obronnych istotnych w sytuacji kryzysowej” w całym łańcuchu wartości. </w:t>
      </w:r>
      <w:r w:rsidRPr="00A83857">
        <w:rPr>
          <w:rFonts w:ascii="Calibri" w:hAnsi="Calibri" w:eastAsia="Times New Roman" w:cs="Calibri"/>
          <w:sz w:val="22"/>
          <w:szCs w:val="22"/>
          <w:lang w:eastAsia="fr-FR"/>
        </w:rPr>
        <w:t xml:space="preserve">Warunki ogłoszenia takiej </w:t>
      </w:r>
      <w:r w:rsidRPr="00A83857">
        <w:rPr>
          <w:rFonts w:ascii="Calibri" w:hAnsi="Calibri" w:eastAsia="Times New Roman" w:cs="Calibri"/>
          <w:sz w:val="22"/>
          <w:szCs w:val="22"/>
          <w:lang w:eastAsia="fr-FR"/>
        </w:rPr>
        <w:t xml:space="preserve">sytuacji kryzysowej </w:t>
      </w:r>
      <w:r w:rsidRPr="00A83857">
        <w:rPr>
          <w:rFonts w:ascii="Calibri" w:hAnsi="Calibri" w:eastAsia="Times New Roman" w:cs="Calibri"/>
          <w:sz w:val="22"/>
          <w:szCs w:val="22"/>
          <w:lang w:eastAsia="fr-FR"/>
        </w:rPr>
        <w:t xml:space="preserve">pozostają niejasne – odnoszą się ogólnie do zakłóceń na rynku wewnętrznym – i zdecydowanie nie uzasadniają zawieszenia podstawowych gwarancji pracowniczych. Chociaż zdajemy sobie sprawę z obecnej, trudnej sytuacji geopolitycznej, daleko nam do stanu wyjątkowego, który uzasadniałby ograniczenie praw pracowników w całym łańcuchu wartości w ramach europejskiego rozporządzenia przeznaczającego 1,5 mld euro na obronność. Obawiamy się, że </w:t>
      </w:r>
      <w:r w:rsidRPr="00A83857">
        <w:rPr>
          <w:rFonts w:ascii="Calibri" w:hAnsi="Calibri" w:eastAsia="Times New Roman" w:cs="Calibri"/>
          <w:sz w:val="22"/>
          <w:szCs w:val="22"/>
          <w:lang w:eastAsia="fr-FR"/>
        </w:rPr>
        <w:t xml:space="preserve">ten niebezpieczny precedens może </w:t>
      </w:r>
      <w:r w:rsidRPr="00A83857">
        <w:rPr>
          <w:rFonts w:ascii="Calibri" w:hAnsi="Calibri" w:eastAsia="Times New Roman" w:cs="Calibri"/>
          <w:sz w:val="22"/>
          <w:szCs w:val="22"/>
          <w:lang w:eastAsia="fr-FR"/>
        </w:rPr>
        <w:t xml:space="preserve">zostać powtórzony w nadchodzących ważnych projektach dotyczących obronności, takich jak pakiet „Defence Omnibus”, który dotyczy między innymi dyrektywy w sprawie czasu pracy oraz rozporządzenia REACH. Zamiast promować uproszczenia oparte na łatwych rozwiązaniach, </w:t>
      </w:r>
      <w:r w:rsidRPr="00A83857">
        <w:rPr>
          <w:rFonts w:ascii="Calibri" w:hAnsi="Calibri" w:eastAsia="Times New Roman" w:cs="Calibri"/>
          <w:b/>
          <w:bCs/>
          <w:sz w:val="22"/>
          <w:szCs w:val="22"/>
          <w:lang w:eastAsia="fr-FR"/>
        </w:rPr>
        <w:t xml:space="preserve">UE powinna nadać priorytet dialogowi społecznemu, ponieważ </w:t>
      </w:r>
      <w:r w:rsidRPr="00A83857">
        <w:rPr>
          <w:rFonts w:ascii="Calibri" w:hAnsi="Calibri" w:eastAsia="Times New Roman" w:cs="Calibri"/>
          <w:b/>
          <w:bCs/>
          <w:sz w:val="22"/>
          <w:szCs w:val="22"/>
          <w:lang w:val="en-GB" w:eastAsia="fr-FR"/>
        </w:rPr>
        <w:t xml:space="preserve">partnerzy społeczni są najlepiej przygotowani do analizowania i przewidywania zmian w sektorze obronnym, aby zapewnić gotowość zakładów i pracowników. </w:t>
      </w:r>
      <w:r w:rsidRPr="00A83857">
        <w:rPr>
          <w:rFonts w:ascii="Calibri" w:hAnsi="Calibri" w:eastAsia="Times New Roman" w:cs="Calibri"/>
          <w:sz w:val="22"/>
          <w:szCs w:val="22"/>
          <w:lang w:eastAsia="fr-FR"/>
        </w:rPr>
        <w:t xml:space="preserve">Wzywamy europejskich decydentów do większej odpowiedzialności i konsultacji ze związkami zawodowymi w sprawie nadchodzących projektów. Dobre warunki pracy są częścią zapewnienia bezpieczeństwa.</w:t>
      </w:r>
    </w:p>
    <w:p w:rsidRPr="00A83857" w:rsidR="002707B0" w:rsidP="00064BC2" w:rsidRDefault="002707B0" w14:paraId="71C9CFFF" w14:textId="77777777">
      <w:pPr>
        <w:contextualSpacing/>
        <w:jc w:val="both"/>
        <w:rPr>
          <w:rFonts w:ascii="Calibri" w:hAnsi="Calibri" w:eastAsia="Times New Roman" w:cs="Calibri"/>
          <w:sz w:val="22"/>
          <w:szCs w:val="22"/>
        </w:rPr>
      </w:pPr>
    </w:p>
    <w:p w:rsidRPr="00A83857" w:rsidR="002707B0" w:rsidP="00064BC2" w:rsidRDefault="002707B0" w14:paraId="663D70A8" w14:textId="77777777">
      <w:pPr>
        <w:contextualSpacing/>
        <w:jc w:val="both"/>
        <w:rPr>
          <w:rFonts w:ascii="Calibri" w:hAnsi="Calibri" w:eastAsia="Times New Roman" w:cs="Calibri"/>
          <w:sz w:val="22"/>
          <w:szCs w:val="22"/>
        </w:rPr>
      </w:pPr>
      <w:r w:rsidRPr="00A83857">
        <w:rPr>
          <w:rFonts w:ascii="Calibri" w:hAnsi="Calibri" w:eastAsia="Times New Roman" w:cs="Calibri"/>
          <w:sz w:val="22"/>
          <w:szCs w:val="22"/>
        </w:rPr>
        <w:t xml:space="preserve">W kontekście malejących zdolności produkcyjnych niektóre przedsiębiorstwa przenoszą część swojej bazy przemysłowej na produkcję zbrojeniową. W niektórych przypadkach przejście z produkcji cywilnej na wojskową doprowadziło do przeniesienia działalności cywilnej poza UE. Jest to szczególnie problematyczne, ponieważ jest mało prawdopodobne, by działalność ta powróciła, co skutkuje długoterminową utratą potencjału przemysłowego. Poleganie na rozbudowie sektora obronnego w celu wypełnienia luk powstałych w wyniku kurczenia się produkcji cywilnej byłoby politycznie </w:t>
      </w:r>
      <w:r w:rsidRPr="00A83857">
        <w:rPr>
          <w:rFonts w:ascii="Calibri" w:hAnsi="Calibri" w:eastAsia="Times New Roman" w:cs="Calibri"/>
          <w:sz w:val="22"/>
          <w:szCs w:val="22"/>
        </w:rPr>
        <w:t xml:space="preserve">krótkowzroczne i ryzykowne z ekonomicznego punktu widzenia. Zamiast tego inicjatywy w dziedzinie obronności powinny wzmacniać cały europejski ekosystem przemysłowy – wspierając </w:t>
      </w:r>
      <w:r w:rsidRPr="00A83857">
        <w:rPr>
          <w:rFonts w:ascii="Calibri" w:hAnsi="Calibri" w:eastAsia="Times New Roman" w:cs="Calibri"/>
          <w:sz w:val="22"/>
          <w:szCs w:val="22"/>
        </w:rPr>
        <w:t xml:space="preserve">wysokiej jakości miejsca pracy, potencjał innowacyjny i zróżnicowaną produkcję – tak aby polityka bezpieczeństwa wzmacniała, a nie podważała europejski model społeczny i przyszłość przemysłową.</w:t>
      </w:r>
    </w:p>
    <w:p w:rsidR="002707B0" w:rsidP="00064BC2" w:rsidRDefault="002707B0" w14:paraId="50A6C579" w14:textId="77777777">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lastRenderedPageBreak/>
      </w:r>
      <w:r w:rsidRPr="00A83857">
        <w:rPr>
          <w:rFonts w:ascii="Calibri" w:hAnsi="Calibri" w:eastAsia="Times New Roman" w:cs="Calibri"/>
          <w:sz w:val="22"/>
          <w:szCs w:val="22"/>
          <w:lang w:val="en-GB" w:eastAsia="fr-FR"/>
        </w:rPr>
        <w:t xml:space="preserve">Promowanie dywersyfikacji produkcji przemysłowej jest coraz częściej postrzegane jako niezbędny sposób na wyeliminowanie luk w zdolnościach i wzmocnienie ogólnej odporności Europy. Podejście to ma zasadnicze znaczenie, ponieważ poleganie na ciągłym zwiększaniu wydatków na obronność nie jest ani zrównoważone, ani pożądane w perspektywie długoterminowej</w:t>
      </w:r>
      <w:r>
        <w:rPr>
          <w:rFonts w:ascii="Calibri" w:hAnsi="Calibri" w:eastAsia="Times New Roman" w:cs="Calibri"/>
          <w:sz w:val="22"/>
          <w:szCs w:val="22"/>
          <w:lang w:val="en-GB" w:eastAsia="fr-FR"/>
        </w:rPr>
        <w:t xml:space="preserve">.</w:t>
      </w:r>
    </w:p>
    <w:p w:rsidRPr="00A83857" w:rsidR="002707B0" w:rsidP="00064BC2" w:rsidRDefault="002707B0" w14:paraId="7E326735"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6EAE4C45" w14:textId="77777777">
      <w:pPr>
        <w:contextualSpacing/>
        <w:jc w:val="both"/>
        <w:rPr>
          <w:rFonts w:ascii="Calibri" w:hAnsi="Calibri" w:eastAsia="Times New Roman" w:cs="Calibri"/>
          <w:b/>
          <w:bCs/>
          <w:color w:val="2F5496" w:themeColor="accent1" w:themeShade="BF"/>
          <w:lang w:val="en-GB" w:eastAsia="fr-FR"/>
        </w:rPr>
      </w:pPr>
      <w:r>
        <w:rPr>
          <w:rFonts w:ascii="Calibri" w:hAnsi="Calibri" w:eastAsia="Times New Roman" w:cs="Calibri"/>
          <w:b/>
          <w:bCs/>
          <w:color w:val="2F5496" w:themeColor="accent1" w:themeShade="BF"/>
          <w:lang w:val="en-GB" w:eastAsia="fr-FR"/>
        </w:rPr>
        <w:t xml:space="preserve">Wydatki na obronność powinny przyczyniać się do tworzenia wysokiej jakości miejsc pracy w Europie </w:t>
      </w:r>
    </w:p>
    <w:p w:rsidRPr="00A83857" w:rsidR="002707B0" w:rsidP="00064BC2" w:rsidRDefault="002707B0" w14:paraId="2FB0E230" w14:textId="77777777">
      <w:pPr>
        <w:contextualSpacing/>
        <w:jc w:val="both"/>
        <w:rPr>
          <w:rFonts w:ascii="Calibri" w:hAnsi="Calibri" w:eastAsia="Times New Roman" w:cs="Calibri"/>
          <w:lang w:val="en-GB" w:eastAsia="fr-FR"/>
        </w:rPr>
      </w:pPr>
    </w:p>
    <w:p w:rsidRPr="00A83857" w:rsidR="002707B0" w:rsidP="00064BC2" w:rsidRDefault="002707B0" w14:paraId="2FE20D4D" w14:textId="77777777">
      <w:pPr>
        <w:contextualSpacing/>
        <w:jc w:val="both"/>
        <w:rPr>
          <w:rFonts w:ascii="Calibri" w:hAnsi="Calibri" w:eastAsia="Times New Roman" w:cs="Calibri"/>
          <w:sz w:val="22"/>
          <w:szCs w:val="22"/>
          <w:lang w:eastAsia="en-BE"/>
        </w:rPr>
      </w:pPr>
      <w:r w:rsidRPr="00A83857">
        <w:rPr>
          <w:rFonts w:ascii="Calibri" w:hAnsi="Calibri" w:eastAsia="Times New Roman" w:cs="Calibri"/>
          <w:sz w:val="22"/>
          <w:szCs w:val="22"/>
          <w:lang w:eastAsia="en-BE"/>
        </w:rPr>
        <w:t xml:space="preserve">Komisja Europejska położyła ostatnio ogromny nacisk na wydatki na obronność, co budzi obawy dotyczące utrzymania zrównoważonego wsparcia dla innych ważnych obszarów polityki. Niezbędne pozostaje, aby cele społeczne Europy oraz transformacja ekologiczna i cyfrowa nadal otrzymywały odpowiednie środki. Trwały pokój i stabilność zależą od silnych fundamentów gospodarczych i spójności społecznej.</w:t>
      </w:r>
    </w:p>
    <w:p w:rsidRPr="00A83857" w:rsidR="002707B0" w:rsidP="00064BC2" w:rsidRDefault="002707B0" w14:paraId="0E250FDA"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3EDDDF9C" w14:textId="77777777">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t xml:space="preserve">W ramach </w:t>
      </w:r>
      <w:hyperlink w:history="1" r:id="rId18">
        <w:r w:rsidRPr="00A83857">
          <w:rPr>
            <w:rStyle w:val="Hyperlink"/>
            <w:rFonts w:ascii="Calibri" w:hAnsi="Calibri" w:eastAsia="Times New Roman" w:cs="Calibri"/>
            <w:sz w:val="22"/>
            <w:szCs w:val="22"/>
            <w:lang w:val="en-GB" w:eastAsia="fr-FR"/>
          </w:rPr>
          <w:t xml:space="preserve">inicjatywy</w:t>
        </w:r>
      </w:hyperlink>
      <w:r w:rsidRPr="00A83857">
        <w:rPr>
          <w:rFonts w:ascii="Calibri" w:hAnsi="Calibri" w:eastAsia="Times New Roman" w:cs="Calibri"/>
          <w:sz w:val="22"/>
          <w:szCs w:val="22"/>
          <w:lang w:val="en-GB" w:eastAsia="fr-FR"/>
        </w:rPr>
        <w:t xml:space="preserve"> </w:t>
      </w:r>
      <w:hyperlink w:history="1" r:id="rId18">
        <w:r w:rsidRPr="00A83857">
          <w:rPr>
            <w:rStyle w:val="Hyperlink"/>
            <w:rFonts w:ascii="Calibri" w:hAnsi="Calibri" w:eastAsia="Times New Roman" w:cs="Calibri"/>
            <w:sz w:val="22"/>
            <w:szCs w:val="22"/>
            <w:lang w:val="en-GB" w:eastAsia="fr-FR"/>
          </w:rPr>
          <w:t xml:space="preserve">„ReArm</w:t>
        </w:r>
      </w:hyperlink>
      <w:r w:rsidRPr="00A83857">
        <w:rPr>
          <w:rFonts w:ascii="Calibri" w:hAnsi="Calibri" w:eastAsia="Times New Roman" w:cs="Calibri"/>
          <w:sz w:val="22"/>
          <w:szCs w:val="22"/>
          <w:lang w:eastAsia="fr-FR"/>
        </w:rPr>
        <w:t xml:space="preserve"> Europe” Komisja proponuje, aby nowy instrument był częściowo finansowany z </w:t>
      </w:r>
      <w:r w:rsidRPr="00A83857">
        <w:rPr>
          <w:rFonts w:ascii="Calibri" w:hAnsi="Calibri" w:eastAsia="Times New Roman" w:cs="Calibri"/>
          <w:b/>
          <w:bCs/>
          <w:sz w:val="22"/>
          <w:szCs w:val="22"/>
          <w:lang w:eastAsia="fr-FR"/>
        </w:rPr>
        <w:t xml:space="preserve">kwoty 93 mld euro w postaci niewykorzystanych pożyczek udzielonych w ramach unijnego Instrumentu Odbudowy i Odporności, przeznaczonych na inwestycje ekologiczne i cyfrowe. </w:t>
      </w:r>
      <w:r w:rsidRPr="00A83857">
        <w:rPr>
          <w:rFonts w:ascii="Calibri" w:hAnsi="Calibri" w:eastAsia="Times New Roman" w:cs="Calibri"/>
          <w:sz w:val="22"/>
          <w:szCs w:val="22"/>
          <w:lang w:eastAsia="fr-FR"/>
        </w:rPr>
        <w:t xml:space="preserve">Ponadto </w:t>
      </w:r>
      <w:r w:rsidRPr="00A83857">
        <w:rPr>
          <w:rFonts w:ascii="Calibri" w:hAnsi="Calibri" w:eastAsia="Times New Roman" w:cs="Calibri"/>
          <w:sz w:val="22"/>
          <w:szCs w:val="22"/>
          <w:lang w:val="en-GB" w:eastAsia="fr-FR"/>
        </w:rPr>
        <w:t xml:space="preserve">w </w:t>
      </w:r>
      <w:hyperlink w:history="1" r:id="rId19">
        <w:r w:rsidRPr="00A83857">
          <w:rPr>
            <w:rStyle w:val="Hyperlink"/>
            <w:rFonts w:ascii="Calibri" w:hAnsi="Calibri" w:eastAsia="Times New Roman" w:cs="Calibri"/>
            <w:sz w:val="22"/>
            <w:szCs w:val="22"/>
            <w:lang w:val="en-GB" w:eastAsia="fr-FR"/>
          </w:rPr>
          <w:t xml:space="preserve">„Mapie drogowej gotowości obronnej 2030</w:t>
        </w:r>
      </w:hyperlink>
      <w:r w:rsidRPr="00A83857">
        <w:rPr>
          <w:rFonts w:ascii="Calibri" w:hAnsi="Calibri" w:eastAsia="Times New Roman" w:cs="Calibri"/>
          <w:sz w:val="22"/>
          <w:szCs w:val="22"/>
          <w:lang w:val="en-GB" w:eastAsia="fr-FR"/>
        </w:rPr>
        <w:t xml:space="preserve">” Komisja proponuje </w:t>
      </w:r>
      <w:r w:rsidRPr="00A83857">
        <w:rPr>
          <w:rFonts w:ascii="Calibri" w:hAnsi="Calibri" w:eastAsia="Times New Roman" w:cs="Calibri"/>
          <w:b/>
          <w:bCs/>
          <w:sz w:val="22"/>
          <w:szCs w:val="22"/>
          <w:lang w:val="en-GB" w:eastAsia="fr-FR"/>
        </w:rPr>
        <w:t xml:space="preserve">przekierowanie środków z funduszy spójności na obronność, co stanowi wyraźne naruszenie ostrzeżeń ze strony związków zawodowych</w:t>
      </w:r>
      <w:r w:rsidRPr="00A83857">
        <w:rPr>
          <w:rFonts w:ascii="Calibri" w:hAnsi="Calibri" w:eastAsia="Times New Roman" w:cs="Calibri"/>
          <w:sz w:val="22"/>
          <w:szCs w:val="22"/>
          <w:lang w:val="en-GB" w:eastAsia="fr-FR"/>
        </w:rPr>
        <w:t xml:space="preserve">. Nasi członkowie w Rumunii potwierdzili, że część pozostałych środków z Funduszu Odbudowy i Odporności oraz część środków z Funduszu Spójności zostanie przeniesiona. Propozycje te wiążą się z niedopuszczalnym uszczerbkiem dla postępu społecznego w tych regionach Europy, które </w:t>
      </w:r>
      <w:r w:rsidRPr="00A83857">
        <w:rPr>
          <w:rFonts w:ascii="Calibri" w:hAnsi="Calibri" w:eastAsia="Times New Roman" w:cs="Calibri"/>
          <w:sz w:val="22"/>
          <w:szCs w:val="22"/>
          <w:lang w:val="en-GB" w:eastAsia="fr-FR"/>
        </w:rPr>
        <w:t xml:space="preserve">pozostają w tyle</w:t>
      </w:r>
      <w:r w:rsidRPr="00A83857">
        <w:rPr>
          <w:rFonts w:ascii="Calibri" w:hAnsi="Calibri" w:eastAsia="Times New Roman" w:cs="Calibri"/>
          <w:sz w:val="22"/>
          <w:szCs w:val="22"/>
          <w:lang w:val="en-GB" w:eastAsia="fr-FR"/>
        </w:rPr>
        <w:t xml:space="preserve">. Musimy finansować konwergencję w górę w Europie, a nie pogłębiać przepaści i narażać naszą stabilność społeczną na ryzyko. Rosnąca nierówność w Europie jest widoczna w wynikach wyborów.</w:t>
      </w:r>
    </w:p>
    <w:p w:rsidRPr="00A83857" w:rsidR="002707B0" w:rsidP="00064BC2" w:rsidRDefault="002707B0" w14:paraId="60D82D1A"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60471895" w14:textId="36AEED92">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t xml:space="preserve">Pracownicy przemysłowi na całym kontynencie borykają się z trudną sytuacją, na którą składają się codzienne restrukturyzacje, zamknięcia zakładów, odkładanie inwestycji oraz zastój popytu, spowodowane kryzysem związanym z kosztami utrzymania oraz polityką oszczędnościową. Tylko w sektorze motoryzacyjnym od czerwca 2024 r. zlikwidowano 90 000 miejsc pracy, a 25% przedsiębiorstw planuje restrukturyzację w nadchodzących miesiącach. </w:t>
      </w:r>
      <w:r w:rsidRPr="00A83857">
        <w:rPr>
          <w:rFonts w:ascii="Calibri" w:hAnsi="Calibri" w:eastAsia="Times New Roman" w:cs="Calibri"/>
          <w:b/>
          <w:bCs/>
          <w:sz w:val="22"/>
          <w:szCs w:val="22"/>
          <w:lang w:val="en-GB" w:eastAsia="fr-FR"/>
        </w:rPr>
        <w:t xml:space="preserve">Nasze najnowsze badanie pokazuje, że spośród 18 analizowanych sektorów przemysłowych dobrze radzą sobie jedynie sektor obronny i lotniczy.</w:t>
      </w:r>
      <w:r w:rsidRPr="00A83857">
        <w:rPr>
          <w:rFonts w:ascii="Calibri" w:hAnsi="Calibri" w:eastAsia="Times New Roman" w:cs="Calibri"/>
          <w:sz w:val="22"/>
          <w:szCs w:val="22"/>
          <w:lang w:val="en-GB" w:eastAsia="fr-FR"/>
        </w:rPr>
        <w:t xml:space="preserve"> </w:t>
      </w:r>
      <w:r>
        <w:rPr>
          <w:rFonts w:ascii="Calibri" w:hAnsi="Calibri" w:eastAsia="Times New Roman" w:cs="Calibri"/>
          <w:sz w:val="22"/>
          <w:szCs w:val="22"/>
          <w:lang w:val="en-GB" w:eastAsia="fr-FR"/>
        </w:rPr>
        <w:t xml:space="preserve">Europejscy przywódcy muszą „przebudzić się” i dostrzec rzeczywistość panującą w europejskim przemyśle, ponieważ te dwa sektory nie mogą być jedynymi, </w:t>
      </w:r>
      <w:r>
        <w:rPr>
          <w:rFonts w:ascii="Calibri" w:hAnsi="Calibri" w:eastAsia="Times New Roman" w:cs="Calibri"/>
          <w:sz w:val="22"/>
          <w:szCs w:val="22"/>
          <w:lang w:val="en-GB" w:eastAsia="fr-FR"/>
        </w:rPr>
        <w:t xml:space="preserve">które korzystają ze wsparcia publicznego. Potrzebna jest wola polityczna, by wesprzeć wszystkie sektory. </w:t>
      </w:r>
      <w:r w:rsidRPr="00A83857">
        <w:rPr>
          <w:rFonts w:ascii="Calibri" w:hAnsi="Calibri" w:eastAsia="Times New Roman" w:cs="Calibri"/>
          <w:sz w:val="22"/>
          <w:szCs w:val="22"/>
          <w:lang w:val="en-GB" w:eastAsia="fr-FR"/>
        </w:rPr>
        <w:t xml:space="preserve">Jak wyjaśniono, nasza obrona i bezpieczeństwo wymagają holistycznego podejścia opartego na zjednoczonej, proaktywnej europejskiej polityce przemysłowej, wykraczającej poza inicjatywę EDTIB i uwzględniającej wszystkie sektory borykające się z trudnościami. </w:t>
      </w:r>
    </w:p>
    <w:p w:rsidRPr="00A83857" w:rsidR="002707B0" w:rsidP="00064BC2" w:rsidRDefault="002707B0" w14:paraId="2286F9AD"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2F252AC1" w14:textId="77777777">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t xml:space="preserve">Zamiast tego Komisja Europejska zaczęła wysyłać niepokojący sygnał, że </w:t>
      </w:r>
      <w:r w:rsidRPr="00A83857">
        <w:rPr>
          <w:rFonts w:ascii="Calibri" w:hAnsi="Calibri" w:eastAsia="Times New Roman" w:cs="Calibri"/>
          <w:b/>
          <w:bCs/>
          <w:sz w:val="22"/>
          <w:szCs w:val="22"/>
          <w:lang w:val="en-GB" w:eastAsia="fr-FR"/>
        </w:rPr>
        <w:t xml:space="preserve">w razie potrzeby państwa członkowskie będą musiały dokonać </w:t>
      </w:r>
      <w:r w:rsidRPr="00A83857">
        <w:rPr>
          <w:rFonts w:ascii="Calibri" w:hAnsi="Calibri" w:eastAsia="Times New Roman" w:cs="Calibri"/>
          <w:b/>
          <w:bCs/>
          <w:sz w:val="22"/>
          <w:szCs w:val="22"/>
          <w:lang w:val="en-GB" w:eastAsia="fr-FR"/>
        </w:rPr>
        <w:t xml:space="preserve">wyboru między wydatkami na obronność a innymi priorytetami, aby zachować zgodność z regułami fiskalnymi </w:t>
      </w:r>
      <w:r w:rsidRPr="00A83857">
        <w:rPr>
          <w:rFonts w:ascii="Calibri" w:hAnsi="Calibri" w:eastAsia="Times New Roman" w:cs="Calibri"/>
          <w:sz w:val="22"/>
          <w:szCs w:val="22"/>
          <w:lang w:val="en-US" w:eastAsia="fr-FR"/>
        </w:rPr>
        <w:t xml:space="preserve">(3% deficytu, 60% długu)</w:t>
      </w:r>
      <w:r w:rsidRPr="00A83857">
        <w:rPr>
          <w:rFonts w:ascii="Calibri" w:hAnsi="Calibri" w:eastAsia="Times New Roman" w:cs="Calibri"/>
          <w:sz w:val="22"/>
          <w:szCs w:val="22"/>
          <w:lang w:val="en-GB" w:eastAsia="fr-FR"/>
        </w:rPr>
        <w:t xml:space="preserve">. </w:t>
      </w:r>
      <w:r w:rsidRPr="00A83857">
        <w:rPr>
          <w:rFonts w:ascii="Calibri" w:hAnsi="Calibri" w:eastAsia="Times New Roman" w:cs="Calibri"/>
          <w:sz w:val="22"/>
          <w:szCs w:val="22"/>
          <w:lang w:val="en-US" w:eastAsia="fr-FR"/>
        </w:rPr>
        <w:t xml:space="preserve">Państwa członkowskie UE muszą opracować krajowe plany cztero- lub siedmioletnie, w których wyjaśnią, w jaki sposób zamierzają osiągnąć te limity. To do nich należy decyzja, jak rozłożą te priorytety. Jednak w kontekście gospodarczym charakteryzującym się niskim wzrostem (1,1% PKB w 2025 r. i 1,6% w 2026 r. w UE) oraz zwiększonymi deficytami budżetowymi od czasu pandemii COVID państwa członkowskie nie mają zbyt dużego pola </w:t>
      </w:r>
      <w:r w:rsidRPr="00A83857">
        <w:rPr>
          <w:rFonts w:ascii="Calibri" w:hAnsi="Calibri" w:eastAsia="Times New Roman" w:cs="Calibri"/>
          <w:sz w:val="22"/>
          <w:szCs w:val="22"/>
          <w:lang w:val="en-US" w:eastAsia="fr-FR"/>
        </w:rPr>
        <w:t xml:space="preserve">manewru</w:t>
      </w:r>
      <w:r w:rsidRPr="00A83857">
        <w:rPr>
          <w:rFonts w:ascii="Calibri" w:hAnsi="Calibri" w:eastAsia="Times New Roman" w:cs="Calibri"/>
          <w:sz w:val="22"/>
          <w:szCs w:val="22"/>
          <w:lang w:val="en-US" w:eastAsia="fr-FR"/>
        </w:rPr>
        <w:t xml:space="preserve">. Ponieważ </w:t>
      </w:r>
      <w:r w:rsidRPr="00A83857">
        <w:rPr>
          <w:rFonts w:ascii="Calibri" w:hAnsi="Calibri" w:eastAsia="Times New Roman" w:cs="Calibri"/>
          <w:sz w:val="22"/>
          <w:szCs w:val="22"/>
          <w:lang w:val="en-GB" w:eastAsia="fr-FR"/>
        </w:rPr>
        <w:t xml:space="preserve">krajowa klauzula wyjścia (NEC) została uruchomiona wyłącznie w odniesieniu do obronności, </w:t>
      </w:r>
      <w:r w:rsidRPr="00A83857">
        <w:rPr>
          <w:rFonts w:ascii="Calibri" w:hAnsi="Calibri" w:eastAsia="Times New Roman" w:cs="Calibri"/>
          <w:sz w:val="22"/>
          <w:szCs w:val="22"/>
          <w:lang w:val="en-US" w:eastAsia="fr-FR"/>
        </w:rPr>
        <w:t xml:space="preserve">jesteśmy bardzo zaniepokojeni, że nastąpi to kosztem tego, czego broni ruch związkowy. </w:t>
      </w:r>
      <w:r w:rsidRPr="00A83857">
        <w:rPr>
          <w:rFonts w:ascii="Calibri" w:hAnsi="Calibri" w:eastAsia="Times New Roman" w:cs="Calibri"/>
          <w:b/>
          <w:bCs/>
          <w:sz w:val="22"/>
          <w:szCs w:val="22"/>
          <w:lang w:val="en-US" w:eastAsia="fr-FR"/>
        </w:rPr>
        <w:t xml:space="preserve">Klauzula NEC musi zostać uruchomiona nie tylko w zakresie </w:t>
      </w:r>
      <w:r w:rsidRPr="00A83857">
        <w:rPr>
          <w:rFonts w:ascii="Calibri" w:hAnsi="Calibri" w:eastAsia="Times New Roman" w:cs="Calibri"/>
          <w:b/>
          <w:bCs/>
          <w:sz w:val="22"/>
          <w:szCs w:val="22"/>
          <w:lang w:val="en-US" w:eastAsia="fr-FR"/>
        </w:rPr>
        <w:t xml:space="preserve">obronności</w:t>
      </w:r>
      <w:r w:rsidRPr="00A83857">
        <w:rPr>
          <w:rFonts w:ascii="Calibri" w:hAnsi="Calibri" w:eastAsia="Times New Roman" w:cs="Calibri"/>
          <w:sz w:val="22"/>
          <w:szCs w:val="22"/>
          <w:lang w:val="en-US" w:eastAsia="fr-FR"/>
        </w:rPr>
        <w:t xml:space="preserve">,</w:t>
      </w:r>
      <w:r w:rsidRPr="00A83857">
        <w:rPr>
          <w:rFonts w:ascii="Calibri" w:hAnsi="Calibri" w:eastAsia="Times New Roman" w:cs="Calibri"/>
          <w:b/>
          <w:bCs/>
          <w:sz w:val="22"/>
          <w:szCs w:val="22"/>
          <w:lang w:val="en-US" w:eastAsia="fr-FR"/>
        </w:rPr>
        <w:t xml:space="preserve"> ale również w innych obszarach</w:t>
      </w:r>
      <w:r w:rsidRPr="00A83857">
        <w:rPr>
          <w:rFonts w:ascii="Calibri" w:hAnsi="Calibri" w:eastAsia="Times New Roman" w:cs="Calibri"/>
          <w:sz w:val="22"/>
          <w:szCs w:val="22"/>
          <w:lang w:val="en-US" w:eastAsia="fr-FR"/>
        </w:rPr>
        <w:t xml:space="preserve">, </w:t>
      </w:r>
      <w:r w:rsidRPr="00A83857">
        <w:rPr>
          <w:rFonts w:ascii="Calibri" w:hAnsi="Calibri" w:eastAsia="Times New Roman" w:cs="Calibri"/>
          <w:b/>
          <w:bCs/>
          <w:sz w:val="22"/>
          <w:szCs w:val="22"/>
          <w:lang w:val="en-US" w:eastAsia="fr-FR"/>
        </w:rPr>
        <w:t xml:space="preserve">aby umożliwić realizację wszystkich niezbędnych inwestycji podlegających warunkom społecznym</w:t>
      </w:r>
      <w:r w:rsidRPr="00A83857">
        <w:rPr>
          <w:rFonts w:ascii="Calibri" w:hAnsi="Calibri" w:eastAsia="Times New Roman" w:cs="Calibri"/>
          <w:sz w:val="22"/>
          <w:szCs w:val="22"/>
          <w:lang w:val="en-US" w:eastAsia="fr-FR"/>
        </w:rPr>
        <w:t xml:space="preserve">, mających na celu wypełnienie luk wskazanych przez Draghiego, a także </w:t>
      </w:r>
      <w:r w:rsidRPr="00A83857">
        <w:rPr>
          <w:rFonts w:ascii="Calibri" w:hAnsi="Calibri" w:eastAsia="Times New Roman" w:cs="Calibri"/>
          <w:sz w:val="22"/>
          <w:szCs w:val="22"/>
          <w:lang w:val="en-GB" w:eastAsia="fr-FR"/>
        </w:rPr>
        <w:t xml:space="preserve">stymulowanie popytu, modernizację infrastruktury, zapewnienie przystępnej cenowo i czystej energii oraz promowanie postępu społecznego. Jest to szczególnie istotne, ponieważ </w:t>
      </w:r>
      <w:r w:rsidRPr="00A83857">
        <w:rPr>
          <w:rFonts w:ascii="Calibri" w:hAnsi="Calibri" w:eastAsia="Times New Roman" w:cs="Calibri"/>
          <w:b/>
          <w:bCs/>
          <w:sz w:val="22"/>
          <w:szCs w:val="22"/>
          <w:lang w:val="en-GB" w:eastAsia="fr-FR"/>
        </w:rPr>
        <w:t xml:space="preserve">mnożnik fiskalny w zakresie obronności jest bardzo niski.</w:t>
      </w:r>
      <w:r w:rsidRPr="00A83857">
        <w:rPr>
          <w:rFonts w:ascii="Calibri" w:hAnsi="Calibri" w:eastAsia="Times New Roman" w:cs="Calibri"/>
          <w:sz w:val="22"/>
          <w:szCs w:val="22"/>
          <w:lang w:val="en-GB" w:eastAsia="fr-FR"/>
        </w:rPr>
        <w:t xml:space="preserve"> Na przykład za każde euro wydane na infrastrukturę zwrot wynosi około 2 euro, podczas gdy w przypadku edukacji jest to około 3 euro. Tymczasem zwrot z inwestycji w obronność wynosi około 0,50 euro.</w:t>
      </w:r>
      <w:r w:rsidRPr="00A83857">
        <w:rPr>
          <w:rStyle w:val="FootnoteReference"/>
          <w:rFonts w:ascii="Calibri" w:hAnsi="Calibri" w:eastAsia="Times New Roman" w:cs="Calibri"/>
          <w:sz w:val="22"/>
          <w:szCs w:val="22"/>
          <w:lang w:val="en-GB" w:eastAsia="fr-FR"/>
        </w:rPr>
        <w:footnoteReference w:id="2"/>
      </w:r>
      <w:r w:rsidRPr="00A83857">
        <w:rPr>
          <w:rFonts w:ascii="Calibri" w:hAnsi="Calibri" w:eastAsia="Times New Roman" w:cs="Calibri"/>
          <w:sz w:val="22"/>
          <w:szCs w:val="22"/>
          <w:lang w:val="en-GB" w:eastAsia="fr-FR"/>
        </w:rPr>
        <w:t xml:space="preserve">  </w:t>
      </w:r>
    </w:p>
    <w:p w:rsidRPr="00A83857" w:rsidR="002707B0" w:rsidP="00064BC2" w:rsidRDefault="002707B0" w14:paraId="3FE5FDD6"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7547DEC5" w14:textId="77777777">
      <w:pPr>
        <w:contextualSpacing/>
        <w:jc w:val="both"/>
        <w:rPr>
          <w:rFonts w:ascii="Calibri" w:hAnsi="Calibri" w:eastAsia="Calibri" w:cs="Calibri"/>
          <w:sz w:val="22"/>
          <w:szCs w:val="22"/>
          <w:lang w:val="en-GB"/>
        </w:rPr>
      </w:pPr>
      <w:r w:rsidRPr="00A83857">
        <w:rPr>
          <w:rFonts w:ascii="Calibri" w:hAnsi="Calibri" w:eastAsia="Times New Roman" w:cs="Calibri"/>
          <w:b/>
          <w:bCs/>
          <w:sz w:val="22"/>
          <w:szCs w:val="22"/>
          <w:lang w:val="en-GB" w:eastAsia="fr-FR"/>
        </w:rPr>
        <w:t xml:space="preserve">Warunki dotyczące treści społecznych i lokalnych w odniesieniu do wszystkich środków publicznych mają fundamentalne znaczenie dla zapewnienia, że ogromna pula środków udostępniona na obronność wspiera EDTIB i trafia do przedsiębiorstw przestrzegających praw pracowników.</w:t>
      </w:r>
      <w:r w:rsidRPr="00A83857">
        <w:rPr>
          <w:rFonts w:ascii="Calibri" w:hAnsi="Calibri" w:eastAsia="Calibri" w:cs="Calibri"/>
          <w:sz w:val="22"/>
          <w:szCs w:val="22"/>
          <w:lang w:val="en-GB"/>
        </w:rPr>
        <w:t xml:space="preserve"> Pojęcie „europejskiej zawartości” należy starannie zdefiniować, mając na uwadze transnarodowy</w:t>
      </w:r>
      <w:r w:rsidRPr="00A83857">
        <w:rPr>
          <w:rFonts w:ascii="Calibri" w:hAnsi="Calibri" w:eastAsia="Calibri" w:cs="Calibri"/>
          <w:sz w:val="22"/>
          <w:szCs w:val="22"/>
          <w:lang w:val="en-GB"/>
        </w:rPr>
        <w:lastRenderedPageBreak/>
      </w:r>
      <w:r w:rsidRPr="00A83857">
        <w:rPr>
          <w:rFonts w:ascii="Calibri" w:hAnsi="Calibri" w:eastAsia="Calibri" w:cs="Calibri"/>
          <w:sz w:val="22"/>
          <w:szCs w:val="22"/>
          <w:lang w:val="en-GB"/>
        </w:rPr>
        <w:t xml:space="preserve"> charakter przemysłowych łańcuchów dostaw oraz ich rolę w wspieraniu pokojowej integracji gospodarczej na całym kontynencie. </w:t>
      </w:r>
      <w:r w:rsidRPr="00A83857">
        <w:rPr>
          <w:rFonts w:ascii="Calibri" w:hAnsi="Calibri" w:eastAsia="Times New Roman" w:cs="Calibri"/>
          <w:sz w:val="22"/>
          <w:szCs w:val="22"/>
          <w:lang w:val="en-GB" w:eastAsia="fr-FR"/>
        </w:rPr>
        <w:t xml:space="preserve">Oprócz krajów należących do rynku wewnętrznego (państwa członkowskie UE i EFTA) za część obszaru objętego inicjatywą „Kupuj produkty europejskie” należy uznać również kraje kandydujące, pod warunkiem że surowe przepisy zapobiegają dumpingowi społecznemu i środowiskowemu. Podobnie produkty zgodne z przepisami dotyczącymi reguł pochodzenia zawartymi w umowie o handlu i współpracy między UE a Wielką Brytanią (TCA) powinny być uznawane za europejskie. Niemniej jednak rozszerzeniu zakresu kwalifikowalności do programu „Kupuj produkty europejskie” muszą towarzyszyć warunki wzajemności w zakresie społecznym i środowiskowym. </w:t>
      </w:r>
    </w:p>
    <w:p w:rsidRPr="00A83857" w:rsidR="002707B0" w:rsidP="00064BC2" w:rsidRDefault="002707B0" w14:paraId="613A1836" w14:textId="77777777">
      <w:pPr>
        <w:contextualSpacing/>
        <w:jc w:val="both"/>
        <w:rPr>
          <w:rFonts w:ascii="Calibri" w:hAnsi="Calibri" w:eastAsia="Calibri" w:cs="Calibri"/>
          <w:sz w:val="22"/>
          <w:szCs w:val="22"/>
          <w:lang w:val="en-GB"/>
        </w:rPr>
      </w:pPr>
    </w:p>
    <w:p w:rsidRPr="00A83857" w:rsidR="002707B0" w:rsidP="00064BC2" w:rsidRDefault="002707B0" w14:paraId="0CBFB825" w14:textId="77777777">
      <w:pPr>
        <w:contextualSpacing/>
        <w:jc w:val="both"/>
        <w:rPr>
          <w:rFonts w:ascii="Calibri" w:hAnsi="Calibri" w:eastAsia="Times New Roman" w:cs="Calibri"/>
          <w:sz w:val="22"/>
          <w:szCs w:val="22"/>
          <w:lang w:val="en-GB" w:eastAsia="fr-FR"/>
        </w:rPr>
      </w:pPr>
      <w:r w:rsidRPr="00A83857">
        <w:rPr>
          <w:rFonts w:ascii="Calibri" w:hAnsi="Calibri" w:eastAsia="Times New Roman" w:cs="Calibri"/>
          <w:sz w:val="22"/>
          <w:szCs w:val="22"/>
          <w:lang w:val="en-GB" w:eastAsia="fr-FR"/>
        </w:rPr>
        <w:t xml:space="preserve">Europejskie koncerny przeżywają obecnie bezprecedensowy cykl wzrostu, który ma się utrzymać w perspektywie średnioterminowej. </w:t>
      </w:r>
    </w:p>
    <w:p w:rsidRPr="00A83857" w:rsidR="002707B0" w:rsidP="00064BC2" w:rsidRDefault="002707B0" w14:paraId="320825D4" w14:textId="77777777">
      <w:pPr>
        <w:contextualSpacing/>
        <w:jc w:val="both"/>
        <w:rPr>
          <w:rFonts w:ascii="Calibri" w:hAnsi="Calibri" w:eastAsia="Times New Roman" w:cs="Calibri"/>
          <w:sz w:val="22"/>
          <w:szCs w:val="22"/>
          <w:lang w:val="en-GB" w:eastAsia="fr-FR"/>
        </w:rPr>
      </w:pPr>
    </w:p>
    <w:p w:rsidRPr="00A83857" w:rsidR="002707B0" w:rsidP="00064BC2" w:rsidRDefault="002707B0" w14:paraId="7DA00D4E" w14:textId="77777777">
      <w:pPr>
        <w:contextualSpacing/>
        <w:jc w:val="both"/>
        <w:rPr>
          <w:rFonts w:ascii="Calibri" w:hAnsi="Calibri" w:eastAsia="Times New Roman" w:cs="Calibri"/>
          <w:sz w:val="22"/>
          <w:szCs w:val="22"/>
          <w:lang w:val="en-GB" w:eastAsia="fr-FR"/>
        </w:rPr>
      </w:pPr>
    </w:p>
    <w:tbl>
      <w:tblPr>
        <w:tblStyle w:val="TableGrid"/>
        <w:tblW w:w="9634" w:type="dxa"/>
        <w:tblLook w:val="04a0"/>
      </w:tblPr>
      <w:tblGrid>
        <w:gridCol w:w="9634"/>
      </w:tblGrid>
      <w:tr w:rsidRPr="00A83857" w:rsidR="002707B0" w:rsidTr="004D125F" w14:paraId="25E5D150" w14:textId="77777777">
        <w:tc>
          <w:tcPr>
            <w:tcW w:w="9634" w:type="dxa"/>
            <w:tcBorders>
              <w:top w:val="single" w:color="254A96" w:sz="4" w:space="0"/>
              <w:left w:val="single" w:color="254A96" w:sz="4" w:space="0"/>
              <w:bottom w:val="single" w:color="254A96" w:sz="4" w:space="0"/>
              <w:right w:val="single" w:color="254A96" w:sz="4" w:space="0"/>
            </w:tcBorders>
            <w:shd w:val="clear" w:color="auto" w:fill="254A96"/>
          </w:tcPr>
          <w:p w:rsidRPr="00A83857" w:rsidR="002707B0" w:rsidP="00064BC2" w:rsidRDefault="002707B0" w14:paraId="002B5AA2" w14:textId="77777777">
            <w:pPr>
              <w:contextualSpacing/>
              <w:jc w:val="both"/>
              <w:rPr>
                <w:rFonts w:ascii="Calibri" w:hAnsi="Calibri" w:cs="Calibri"/>
                <w:color w:val="FFFFFF" w:themeColor="background1"/>
                <w:sz w:val="22"/>
                <w:szCs w:val="22"/>
                <w:lang w:val="en-GB"/>
              </w:rPr>
            </w:pPr>
            <w:bookmarkStart w:name="_Hlk100045779" w:id="1"/>
          </w:p>
          <w:p w:rsidRPr="00A83857" w:rsidR="002707B0" w:rsidP="00064BC2" w:rsidRDefault="002707B0" w14:paraId="1A409E8B" w14:textId="77777777">
            <w:pPr>
              <w:contextualSpacing/>
              <w:jc w:val="both"/>
              <w:rPr>
                <w:rFonts w:ascii="Calibri" w:hAnsi="Calibri" w:cs="Calibri"/>
                <w:b/>
                <w:bCs/>
                <w:color w:val="FFFFFF" w:themeColor="background1"/>
                <w:lang w:val="en-GB"/>
              </w:rPr>
            </w:pPr>
            <w:r w:rsidRPr="00A83857">
              <w:rPr>
                <w:rFonts w:ascii="Calibri" w:hAnsi="Calibri" w:cs="Calibri"/>
                <w:b/>
                <w:bCs/>
                <w:color w:val="FFFFFF" w:themeColor="background1"/>
                <w:lang w:val="en-GB"/>
              </w:rPr>
              <w:t xml:space="preserve">Postulaty IndustriAll Europe:</w:t>
            </w:r>
          </w:p>
          <w:p w:rsidRPr="00A83857" w:rsidR="002707B0" w:rsidP="00064BC2" w:rsidRDefault="002707B0" w14:paraId="3C0EFBFC" w14:textId="77777777">
            <w:pPr>
              <w:contextualSpacing/>
              <w:jc w:val="both"/>
              <w:rPr>
                <w:rFonts w:ascii="Calibri" w:hAnsi="Calibri" w:cs="Calibri"/>
                <w:color w:val="FFFFFF" w:themeColor="background1"/>
                <w:sz w:val="22"/>
                <w:szCs w:val="22"/>
                <w:lang w:val="en-GB"/>
              </w:rPr>
            </w:pPr>
          </w:p>
        </w:tc>
      </w:tr>
      <w:tr w:rsidRPr="00A83857" w:rsidR="002707B0" w:rsidTr="004D125F" w14:paraId="744F55FA" w14:textId="77777777">
        <w:tc>
          <w:tcPr>
            <w:tcW w:w="9634" w:type="dxa"/>
            <w:tcBorders>
              <w:top w:val="single" w:color="254A96" w:sz="4" w:space="0"/>
              <w:left w:val="single" w:color="254A96" w:sz="4" w:space="0"/>
              <w:bottom w:val="single" w:color="254A96" w:sz="4" w:space="0"/>
              <w:right w:val="single" w:color="254A96" w:sz="4" w:space="0"/>
            </w:tcBorders>
            <w:shd w:val="clear" w:color="auto" w:fill="F2F2F2" w:themeFill="background1" w:themeFillShade="F2"/>
          </w:tcPr>
          <w:p w:rsidRPr="00A83857" w:rsidR="002707B0" w:rsidP="00064BC2" w:rsidRDefault="002707B0" w14:paraId="7C9BC326" w14:textId="77777777">
            <w:pPr>
              <w:ind w:start="357"/>
              <w:contextualSpacing/>
              <w:jc w:val="both"/>
              <w:rPr>
                <w:rFonts w:ascii="Calibri" w:hAnsi="Calibri" w:cs="Calibri"/>
                <w:sz w:val="22"/>
                <w:szCs w:val="22"/>
                <w:lang w:val="en-GB"/>
              </w:rPr>
            </w:pPr>
            <w:bookmarkStart w:name="_Hlk113884611" w:id="2"/>
          </w:p>
          <w:p w:rsidRPr="00A83857" w:rsidR="002707B0" w:rsidP="00064BC2" w:rsidRDefault="002707B0" w14:paraId="7E9A87E1" w14:textId="77777777">
            <w:pPr>
              <w:pStyle w:val="ListParagraph"/>
              <w:numPr>
                <w:ilvl w:val="0"/>
                <w:numId w:val="36"/>
              </w:numPr>
              <w:ind w:end="170"/>
              <w:jc w:val="both"/>
              <w:rPr>
                <w:rFonts w:ascii="Calibri" w:hAnsi="Calibri" w:cs="Calibri"/>
                <w:b/>
                <w:bCs/>
                <w:sz w:val="22"/>
                <w:szCs w:val="22"/>
                <w:lang w:val="en-GB"/>
              </w:rPr>
            </w:pPr>
            <w:r w:rsidRPr="00A83857">
              <w:rPr>
                <w:rFonts w:ascii="Calibri" w:hAnsi="Calibri" w:cs="Calibri"/>
                <w:sz w:val="22"/>
                <w:szCs w:val="22"/>
                <w:lang w:val="en-GB"/>
              </w:rPr>
              <w:t xml:space="preserve">UE musi przyjąć </w:t>
            </w:r>
            <w:r w:rsidRPr="00A83857">
              <w:rPr>
                <w:rFonts w:ascii="Calibri" w:hAnsi="Calibri" w:cs="Calibri"/>
                <w:b/>
                <w:bCs/>
                <w:sz w:val="22"/>
                <w:szCs w:val="22"/>
                <w:lang w:val="en-GB"/>
              </w:rPr>
              <w:t xml:space="preserve">szerszą koncepcję zbiorowej obrony i bezpieczeństwa, wykraczającą poza gotowość wojskową, ale obejmującą również bezpieczeństwo gospodarcze i stabilność społeczną. Ponadto </w:t>
            </w:r>
            <w:r w:rsidRPr="00A83857">
              <w:rPr>
                <w:rFonts w:ascii="Calibri" w:hAnsi="Calibri" w:cs="Calibri"/>
                <w:b/>
                <w:bCs/>
                <w:sz w:val="22"/>
                <w:szCs w:val="22"/>
                <w:lang w:val="pl-PL"/>
              </w:rPr>
              <w:t xml:space="preserve">gotowość przemysłowa musi opierać się na stabilnym zatrudnieniu, wysokiej jakości miejscach pracy, wysokich standardach bezpieczeństwa i higieny pracy oraz wzroście zatrudnienia. W tym sensie wszelki wzrost produkcji powinien być wspierany niezbędnym finansowaniem, szkoleniami i poprawą warunków pracy. </w:t>
            </w:r>
            <w:r w:rsidRPr="00A83857">
              <w:rPr>
                <w:rFonts w:ascii="Calibri" w:hAnsi="Calibri" w:cs="Calibri"/>
                <w:b/>
                <w:bCs/>
                <w:sz w:val="22"/>
                <w:szCs w:val="22"/>
                <w:lang w:val="en-GB"/>
              </w:rPr>
              <w:t xml:space="preserve">Pokój, demokracja i prawo międzynarodowe muszą pozostać naczelną zasadą kształtowania polityki.</w:t>
            </w:r>
          </w:p>
          <w:p w:rsidRPr="00A83857" w:rsidR="002707B0" w:rsidP="00064BC2" w:rsidRDefault="002707B0" w14:paraId="095BC558" w14:textId="77777777">
            <w:pPr>
              <w:pStyle w:val="ListParagraph"/>
              <w:ind w:start="357" w:end="170"/>
              <w:jc w:val="both"/>
              <w:rPr>
                <w:rFonts w:ascii="Calibri" w:hAnsi="Calibri" w:cs="Calibri"/>
                <w:b/>
                <w:bCs/>
                <w:sz w:val="22"/>
                <w:szCs w:val="22"/>
                <w:lang w:val="en-GB"/>
              </w:rPr>
            </w:pPr>
          </w:p>
          <w:p w:rsidRPr="00577C54" w:rsidR="002707B0" w:rsidP="00064BC2" w:rsidRDefault="002707B0" w14:paraId="20AE6529" w14:textId="77777777">
            <w:pPr>
              <w:pStyle w:val="ListParagraph"/>
              <w:numPr>
                <w:ilvl w:val="0"/>
                <w:numId w:val="36"/>
              </w:numPr>
              <w:ind w:end="170"/>
              <w:jc w:val="both"/>
              <w:rPr>
                <w:rFonts w:ascii="Calibri" w:hAnsi="Calibri" w:cs="Calibri"/>
                <w:b/>
                <w:bCs/>
                <w:sz w:val="22"/>
                <w:szCs w:val="22"/>
                <w:lang w:val="en-GB"/>
              </w:rPr>
            </w:pPr>
            <w:r w:rsidRPr="00577C54">
              <w:rPr>
                <w:rFonts w:ascii="Calibri" w:hAnsi="Calibri" w:cs="Calibri"/>
                <w:b/>
                <w:bCs/>
                <w:sz w:val="22"/>
                <w:szCs w:val="22"/>
                <w:lang w:val="en-GB"/>
              </w:rPr>
              <w:t xml:space="preserve">Zwiększenie budżetów obronnych na szczeblu krajowym i europejskim nie powinno skutkować wzrostem importu broni z państw trzecich, lecz powinno przynosić korzyści europejskiemu przemysłowi obronnemu (EDTIB). </w:t>
            </w:r>
          </w:p>
          <w:p w:rsidRPr="00A83857" w:rsidR="002707B0" w:rsidP="00064BC2" w:rsidRDefault="002707B0" w14:paraId="5D6BA578" w14:textId="77777777">
            <w:pPr>
              <w:pStyle w:val="ListParagraph"/>
              <w:numPr>
                <w:ilvl w:val="0"/>
                <w:numId w:val="36"/>
              </w:numPr>
              <w:ind w:end="170"/>
              <w:jc w:val="both"/>
              <w:rPr>
                <w:rFonts w:ascii="Calibri" w:hAnsi="Calibri" w:cs="Calibri"/>
                <w:sz w:val="22"/>
                <w:szCs w:val="22"/>
                <w:lang w:val="en-GB"/>
              </w:rPr>
            </w:pPr>
            <w:r w:rsidRPr="00A83857">
              <w:rPr>
                <w:rFonts w:ascii="Calibri" w:hAnsi="Calibri" w:cs="Calibri"/>
                <w:b/>
                <w:bCs/>
                <w:sz w:val="22"/>
                <w:szCs w:val="22"/>
                <w:lang w:val="en-GB"/>
              </w:rPr>
              <w:t xml:space="preserve">Uruchomienie krajowej klauzuli wyjścia musi wykraczać poza obszar obronności</w:t>
            </w:r>
            <w:r w:rsidRPr="00A83857">
              <w:rPr>
                <w:rFonts w:ascii="Calibri" w:hAnsi="Calibri" w:cs="Calibri"/>
                <w:sz w:val="22"/>
                <w:szCs w:val="22"/>
                <w:lang w:val="en-GB"/>
              </w:rPr>
              <w:t xml:space="preserve">, aby umożliwić niezbędne inwestycje we wszystkich sektorach przemysłowych, a także realizację europejskich celów społecznych, ekologicznych i cyfrowych.</w:t>
            </w:r>
          </w:p>
          <w:p w:rsidRPr="00A83857" w:rsidR="002707B0" w:rsidP="00064BC2" w:rsidRDefault="002707B0" w14:paraId="05B7C2B1" w14:textId="77777777">
            <w:pPr>
              <w:ind w:end="170"/>
              <w:contextualSpacing/>
              <w:jc w:val="both"/>
              <w:rPr>
                <w:rFonts w:ascii="Calibri" w:hAnsi="Calibri" w:cs="Calibri"/>
                <w:sz w:val="22"/>
                <w:szCs w:val="22"/>
                <w:lang w:val="en-GB"/>
              </w:rPr>
            </w:pPr>
          </w:p>
          <w:p w:rsidRPr="00A83857" w:rsidR="002707B0" w:rsidP="00064BC2" w:rsidRDefault="002707B0" w14:paraId="75B4A876" w14:textId="77777777">
            <w:pPr>
              <w:pStyle w:val="ListParagraph"/>
              <w:numPr>
                <w:ilvl w:val="0"/>
                <w:numId w:val="35"/>
              </w:numPr>
              <w:ind w:end="170"/>
              <w:jc w:val="both"/>
              <w:rPr>
                <w:rFonts w:ascii="Calibri" w:hAnsi="Calibri" w:cs="Calibri"/>
                <w:sz w:val="22"/>
                <w:szCs w:val="22"/>
                <w:lang w:val="en-GB"/>
              </w:rPr>
            </w:pPr>
            <w:r w:rsidRPr="00A83857">
              <w:rPr>
                <w:rFonts w:ascii="Calibri" w:hAnsi="Calibri" w:cs="Calibri"/>
                <w:sz w:val="22"/>
                <w:szCs w:val="22"/>
                <w:lang w:val="en-GB"/>
              </w:rPr>
              <w:t xml:space="preserve">Środki publiczne przeznaczone na inicjatywy w zakresie obrony lub bezpieczeństwa </w:t>
            </w:r>
            <w:r w:rsidRPr="00A83857">
              <w:rPr>
                <w:rFonts w:ascii="Calibri" w:hAnsi="Calibri" w:cs="Calibri"/>
                <w:b/>
                <w:bCs/>
                <w:sz w:val="22"/>
                <w:szCs w:val="22"/>
                <w:lang w:val="en-GB"/>
              </w:rPr>
              <w:t xml:space="preserve">nie</w:t>
            </w:r>
            <w:r w:rsidRPr="00A83857">
              <w:rPr>
                <w:rFonts w:ascii="Calibri" w:hAnsi="Calibri" w:cs="Calibri"/>
                <w:sz w:val="22"/>
                <w:szCs w:val="22"/>
                <w:lang w:val="en-GB"/>
              </w:rPr>
              <w:t xml:space="preserve"> mogą </w:t>
            </w:r>
            <w:r w:rsidRPr="00A83857">
              <w:rPr>
                <w:rFonts w:ascii="Calibri" w:hAnsi="Calibri" w:cs="Calibri"/>
                <w:b/>
                <w:bCs/>
                <w:sz w:val="22"/>
                <w:szCs w:val="22"/>
                <w:lang w:val="en-GB"/>
              </w:rPr>
              <w:t xml:space="preserve">odbywać się kosztem środków na cele społeczne, ani zagrażać zdolnościom państw do inwestowania w podwójną transformację.</w:t>
            </w:r>
          </w:p>
          <w:p w:rsidRPr="00A83857" w:rsidR="002707B0" w:rsidP="00064BC2" w:rsidRDefault="002707B0" w14:paraId="2EAF9E7F" w14:textId="77777777">
            <w:pPr>
              <w:pStyle w:val="ListParagraph"/>
              <w:spacing w:after="160"/>
              <w:ind w:end="170"/>
              <w:jc w:val="both"/>
              <w:rPr>
                <w:rFonts w:ascii="Calibri" w:hAnsi="Calibri" w:cs="Calibri"/>
                <w:b/>
                <w:bCs/>
                <w:sz w:val="22"/>
                <w:szCs w:val="22"/>
                <w:lang w:val="en-GB"/>
              </w:rPr>
            </w:pPr>
            <w:r w:rsidRPr="00A83857">
              <w:rPr>
                <w:rFonts w:ascii="Calibri" w:hAnsi="Calibri" w:cs="Calibri"/>
                <w:b/>
                <w:bCs/>
                <w:sz w:val="22"/>
                <w:szCs w:val="22"/>
                <w:lang w:val="en-GB"/>
              </w:rPr>
              <w:t xml:space="preserve">Finansowanie publiczne i zamówienia publiczne muszą być powiązane z warunkami dotyczącymi treści społecznych i lokalnych, w tym z obowiązkiem tworzenia wysokiej jakości miejsc pracy i zapewnienia szkoleń. Inwestycje publiczne, regulacje i strategia przemysłowa powinny wynagradzać gotowość i odstraszanie</w:t>
            </w:r>
          </w:p>
          <w:p w:rsidRPr="00A83857" w:rsidR="002707B0" w:rsidP="00064BC2" w:rsidRDefault="002707B0" w14:paraId="226029B5" w14:textId="77777777">
            <w:pPr>
              <w:pStyle w:val="ListParagraph"/>
              <w:spacing w:after="160"/>
              <w:ind w:end="170"/>
              <w:jc w:val="both"/>
              <w:rPr>
                <w:rFonts w:ascii="Calibri" w:hAnsi="Calibri" w:cs="Calibri"/>
                <w:b/>
                <w:bCs/>
                <w:sz w:val="22"/>
                <w:szCs w:val="22"/>
                <w:lang w:val="en-GB"/>
              </w:rPr>
            </w:pPr>
          </w:p>
          <w:p w:rsidRPr="00A83857" w:rsidR="002707B0" w:rsidP="00064BC2" w:rsidRDefault="002707B0" w14:paraId="5E2CC7BD" w14:textId="77777777">
            <w:pPr>
              <w:pStyle w:val="ListParagraph"/>
              <w:numPr>
                <w:ilvl w:val="0"/>
                <w:numId w:val="32"/>
              </w:numPr>
              <w:spacing w:after="160"/>
              <w:ind w:end="170"/>
              <w:jc w:val="both"/>
              <w:rPr>
                <w:rFonts w:ascii="Calibri" w:hAnsi="Calibri" w:cs="Calibri"/>
                <w:sz w:val="22"/>
                <w:szCs w:val="22"/>
                <w:lang w:val="en-GB"/>
              </w:rPr>
            </w:pPr>
            <w:r w:rsidRPr="00A83857">
              <w:rPr>
                <w:rFonts w:ascii="Calibri" w:hAnsi="Calibri" w:cs="Calibri"/>
                <w:b/>
                <w:bCs/>
                <w:sz w:val="22"/>
                <w:szCs w:val="22"/>
                <w:lang w:val="en-GB"/>
              </w:rPr>
              <w:t xml:space="preserve">Uproszczenie nie powinno oznaczać deregulacji prawa pracy ani prawa ochrony środowiska. </w:t>
            </w:r>
            <w:r w:rsidRPr="00A83857">
              <w:rPr>
                <w:rFonts w:ascii="Calibri" w:hAnsi="Calibri" w:cs="Calibri"/>
                <w:sz w:val="22"/>
                <w:szCs w:val="22"/>
                <w:lang w:val="en-GB"/>
              </w:rPr>
              <w:t xml:space="preserve">W szczególności </w:t>
            </w:r>
            <w:r w:rsidRPr="00A83857">
              <w:rPr>
                <w:rFonts w:ascii="Calibri" w:hAnsi="Calibri" w:cs="Calibri"/>
                <w:sz w:val="22"/>
                <w:szCs w:val="22"/>
                <w:lang w:val="en-GB"/>
              </w:rPr>
              <w:t xml:space="preserve">związki </w:t>
            </w:r>
            <w:r w:rsidRPr="00A83857">
              <w:rPr>
                <w:rFonts w:ascii="Calibri" w:hAnsi="Calibri" w:cs="Calibri"/>
                <w:sz w:val="22"/>
                <w:szCs w:val="22"/>
                <w:lang w:val="en-GB"/>
              </w:rPr>
              <w:t xml:space="preserve">zawodowe </w:t>
            </w:r>
            <w:r w:rsidRPr="00A83857">
              <w:rPr>
                <w:rFonts w:ascii="Calibri" w:hAnsi="Calibri" w:cs="Calibri"/>
                <w:sz w:val="22"/>
                <w:szCs w:val="22"/>
                <w:lang w:val="en-GB"/>
              </w:rPr>
              <w:t xml:space="preserve">zdecydowanie sprzeciwiają się wszelkim próbom wprowadzania odstępstw w zakresie </w:t>
            </w:r>
            <w:r w:rsidRPr="00A83857">
              <w:rPr>
                <w:rFonts w:ascii="Calibri" w:hAnsi="Calibri" w:cs="Calibri"/>
                <w:b/>
                <w:bCs/>
                <w:sz w:val="22"/>
                <w:szCs w:val="22"/>
                <w:lang w:val="en-GB"/>
              </w:rPr>
              <w:t xml:space="preserve">czasu pracy </w:t>
            </w:r>
            <w:r w:rsidRPr="00A83857">
              <w:rPr>
                <w:rFonts w:ascii="Calibri" w:hAnsi="Calibri" w:cs="Calibri"/>
                <w:sz w:val="22"/>
                <w:szCs w:val="22"/>
                <w:lang w:val="en-GB"/>
              </w:rPr>
              <w:t xml:space="preserve">oraz osłabiania </w:t>
            </w:r>
            <w:r w:rsidRPr="00A83857">
              <w:rPr>
                <w:rFonts w:ascii="Calibri" w:hAnsi="Calibri" w:cs="Calibri"/>
                <w:b/>
                <w:bCs/>
                <w:sz w:val="22"/>
                <w:szCs w:val="22"/>
                <w:lang w:val="en-GB"/>
              </w:rPr>
              <w:t xml:space="preserve">standardów bezpieczeństwa i higieny pracy</w:t>
            </w:r>
            <w:r w:rsidRPr="00A83857">
              <w:rPr>
                <w:rFonts w:ascii="Calibri" w:hAnsi="Calibri" w:cs="Calibri"/>
                <w:sz w:val="22"/>
                <w:szCs w:val="22"/>
                <w:lang w:val="en-GB"/>
              </w:rPr>
              <w:t xml:space="preserve">. Sytuacje nadzwyczajne powinny być jasno zdefiniowane i ściśle ograniczone. Nie należy przyznawać żadnych odstępstw od standardów pracy bez uprzednich negocjacji z partnerami społecznymi.</w:t>
            </w:r>
          </w:p>
          <w:p w:rsidRPr="00A83857" w:rsidR="002707B0" w:rsidP="00064BC2" w:rsidRDefault="002707B0" w14:paraId="76F78655" w14:textId="77777777">
            <w:pPr>
              <w:pStyle w:val="ListParagraph"/>
              <w:spacing w:after="160"/>
              <w:ind w:end="170"/>
              <w:jc w:val="both"/>
              <w:rPr>
                <w:rFonts w:ascii="Calibri" w:hAnsi="Calibri" w:cs="Calibri"/>
                <w:sz w:val="22"/>
                <w:szCs w:val="22"/>
                <w:lang w:val="en-GB"/>
              </w:rPr>
            </w:pPr>
          </w:p>
          <w:p w:rsidRPr="00A83857" w:rsidR="002707B0" w:rsidP="00064BC2" w:rsidRDefault="002707B0" w14:paraId="10E96192" w14:textId="77777777">
            <w:pPr>
              <w:pStyle w:val="ListParagraph"/>
              <w:numPr>
                <w:ilvl w:val="0"/>
                <w:numId w:val="34"/>
              </w:numPr>
              <w:spacing w:after="160"/>
              <w:ind w:end="170"/>
              <w:jc w:val="both"/>
              <w:rPr>
                <w:rFonts w:ascii="Calibri" w:hAnsi="Calibri" w:cs="Calibri"/>
                <w:b/>
                <w:bCs/>
                <w:sz w:val="22"/>
                <w:szCs w:val="22"/>
              </w:rPr>
            </w:pPr>
            <w:r w:rsidRPr="00A83857">
              <w:rPr>
                <w:rFonts w:ascii="Calibri" w:hAnsi="Calibri" w:cs="Calibri"/>
                <w:b/>
                <w:bCs/>
                <w:sz w:val="22"/>
                <w:szCs w:val="22"/>
              </w:rPr>
              <w:t xml:space="preserve">Należy nadać priorytet dialogowi społecznemu, ponieważ partnerzy społeczni są najlepiej przygotowani do analizowania i przewidywania zmian w sektorze obronnym oraz do zapewnienia odpowiedniego przygotowania zakładów i pracowników. Należy zapewnić, by inwestycje w sektorze obronnym były wspierane przez zrównoważone i sprawiedliwe mechanizmy finansowania publicznego, które zachowują spójność społeczną i poparcie społeczne, a także unikają stosowania środków oszczędnościowych lub nadmiernej zależności od rynków finansowych i podmiotów zewnętrznych. Należy dalej promować standaryzację w celu ograniczenia fragmentacji przyszłych inwestycji w ramach EDTIB.</w:t>
            </w:r>
          </w:p>
          <w:bookmarkEnd w:id="2"/>
          <w:p w:rsidRPr="00A83857" w:rsidR="002707B0" w:rsidP="00064BC2" w:rsidRDefault="002707B0" w14:paraId="6450C6B9" w14:textId="77777777">
            <w:pPr>
              <w:pStyle w:val="ListParagraph"/>
              <w:spacing w:after="160"/>
              <w:ind w:end="170"/>
              <w:jc w:val="both"/>
              <w:rPr>
                <w:rFonts w:ascii="Calibri" w:hAnsi="Calibri" w:cs="Calibri"/>
                <w:b/>
                <w:bCs/>
                <w:sz w:val="22"/>
                <w:szCs w:val="22"/>
                <w:lang w:val="en-GB"/>
              </w:rPr>
            </w:pPr>
          </w:p>
          <w:p w:rsidRPr="00A83857" w:rsidR="002707B0" w:rsidP="00064BC2" w:rsidRDefault="002707B0" w14:paraId="09E49940" w14:textId="77777777">
            <w:pPr>
              <w:pStyle w:val="ListParagraph"/>
              <w:numPr>
                <w:ilvl w:val="0"/>
                <w:numId w:val="33"/>
              </w:numPr>
              <w:jc w:val="both"/>
              <w:rPr>
                <w:rFonts w:ascii="Calibri" w:hAnsi="Calibri" w:eastAsia="Times New Roman" w:cs="Calibri"/>
                <w:sz w:val="22"/>
                <w:szCs w:val="22"/>
              </w:rPr>
            </w:pPr>
            <w:r w:rsidRPr="00A83857">
              <w:rPr>
                <w:rFonts w:ascii="Calibri" w:hAnsi="Calibri" w:eastAsia="Times New Roman" w:cs="Calibri"/>
                <w:b/>
                <w:bCs/>
                <w:sz w:val="22"/>
                <w:szCs w:val="22"/>
              </w:rPr>
              <w:t xml:space="preserve">Zapewnienie sprawiedliwych i sprzyjających włączeniu społecznemu inwestycji w sektorze obronnym w całej Europie</w:t>
            </w:r>
            <w:r w:rsidRPr="00A83857">
              <w:rPr>
                <w:rFonts w:ascii="Calibri" w:hAnsi="Calibri" w:eastAsia="Times New Roman" w:cs="Calibri"/>
                <w:sz w:val="22"/>
                <w:szCs w:val="22"/>
              </w:rPr>
              <w:t xml:space="preserve">, tak aby wszystkie regiony odniosły korzyści, przy jednoczesnym zabezpieczeniu istniejących miejsc pracy i tworzeniu nowych, wysokiej jakości miejsc pracy w całej UE. Wymaga to równego dostępu do funduszy unijnych i zamówień publicznych, umożliwiającego współpracę oraz realizację dużych </w:t>
            </w:r>
            <w:r w:rsidRPr="00A83857">
              <w:rPr>
                <w:rFonts w:ascii="Calibri" w:hAnsi="Calibri" w:eastAsia="Times New Roman" w:cs="Calibri"/>
                <w:sz w:val="22"/>
                <w:szCs w:val="22"/>
              </w:rPr>
              <w:t xml:space="preserve">programów w ramach inicjatywy „</w:t>
            </w:r>
            <w:r w:rsidRPr="00A83857">
              <w:rPr>
                <w:rFonts w:ascii="Calibri" w:hAnsi="Calibri" w:eastAsia="Times New Roman" w:cs="Calibri"/>
                <w:sz w:val="22"/>
                <w:szCs w:val="22"/>
              </w:rPr>
              <w:lastRenderedPageBreak/>
            </w:r>
            <w:r w:rsidRPr="00A83857">
              <w:rPr>
                <w:rFonts w:ascii="Calibri" w:hAnsi="Calibri" w:eastAsia="Times New Roman" w:cs="Calibri"/>
                <w:sz w:val="22"/>
                <w:szCs w:val="22"/>
              </w:rPr>
              <w:t xml:space="preserve"> ” w celu wspierania lokalnej produkcji, rozwoju technologicznego oraz integracji wszystkich regionów jako partnerów w łańcuchu wartości przemysłowej</w:t>
            </w:r>
            <w:r>
              <w:rPr>
                <w:rFonts w:ascii="Calibri" w:hAnsi="Calibri" w:eastAsia="Times New Roman" w:cs="Calibri"/>
                <w:sz w:val="22"/>
                <w:szCs w:val="22"/>
              </w:rPr>
              <w:t xml:space="preserve">.</w:t>
            </w:r>
            <w:r w:rsidRPr="00A83857">
              <w:rPr>
                <w:rFonts w:ascii="Calibri" w:hAnsi="Calibri" w:eastAsia="Times New Roman" w:cs="Calibri"/>
                <w:sz w:val="22"/>
                <w:szCs w:val="22"/>
              </w:rPr>
              <w:t xml:space="preserve"> Niezbędne są inwestycje w potencjał, certyfikację i umiejętności</w:t>
            </w:r>
            <w:r>
              <w:rPr>
                <w:rFonts w:ascii="Calibri" w:hAnsi="Calibri" w:eastAsia="Times New Roman" w:cs="Calibri"/>
                <w:sz w:val="22"/>
                <w:szCs w:val="22"/>
              </w:rPr>
              <w:t xml:space="preserve">.</w:t>
            </w:r>
          </w:p>
          <w:p w:rsidRPr="00A83857" w:rsidR="002707B0" w:rsidP="00064BC2" w:rsidRDefault="002707B0" w14:paraId="21D7F143" w14:textId="77777777">
            <w:pPr>
              <w:pStyle w:val="ListParagraph"/>
              <w:jc w:val="both"/>
              <w:rPr>
                <w:rFonts w:ascii="Calibri" w:hAnsi="Calibri" w:eastAsia="Times New Roman" w:cs="Calibri"/>
                <w:sz w:val="22"/>
                <w:szCs w:val="22"/>
                <w:lang w:val="en-GB"/>
              </w:rPr>
            </w:pPr>
          </w:p>
        </w:tc>
      </w:tr>
      <w:bookmarkEnd w:id="1"/>
    </w:tbl>
    <w:p w:rsidRPr="005A12BB" w:rsidR="002707B0" w:rsidP="00064BC2" w:rsidRDefault="002707B0" w14:paraId="22A25255" w14:textId="77777777">
      <w:pPr>
        <w:contextualSpacing/>
        <w:jc w:val="both"/>
        <w:rPr>
          <w:rFonts w:asciiTheme="majorHAnsi" w:hAnsiTheme="majorHAnsi" w:cstheme="majorHAnsi"/>
          <w:sz w:val="22"/>
          <w:szCs w:val="22"/>
          <w:lang w:val="en-GB"/>
        </w:rPr>
      </w:pPr>
    </w:p>
    <w:p w:rsidRPr="005A12BB" w:rsidR="002707B0" w:rsidP="00064BC2" w:rsidRDefault="002707B0" w14:paraId="483D39C1" w14:textId="77777777">
      <w:pPr>
        <w:contextualSpacing/>
        <w:jc w:val="both"/>
        <w:rPr>
          <w:rFonts w:asciiTheme="majorHAnsi" w:hAnsiTheme="majorHAnsi" w:cstheme="majorHAnsi"/>
          <w:sz w:val="22"/>
          <w:szCs w:val="22"/>
        </w:rPr>
      </w:pPr>
    </w:p>
    <w:p w:rsidRPr="005E255C" w:rsidR="004B2C49" w:rsidP="00064BC2" w:rsidRDefault="004B2C49" w14:paraId="1C45850F" w14:textId="23AF4AB0">
      <w:pPr>
        <w:spacing w:before="120" w:after="120"/>
        <w:contextualSpacing/>
        <w:jc w:val="both"/>
        <w:rPr>
          <w:color w:val="000000" w:themeColor="text1"/>
          <w:sz w:val="22"/>
          <w:szCs w:val="22"/>
        </w:rPr>
      </w:pPr>
    </w:p>
    <w:sectPr w:rsidRPr="005E255C" w:rsidR="004B2C49" w:rsidSect="004B2C49">
      <w:headerReference w:type="default" r:id="rId20"/>
      <w:footerReference w:type="default" r:id="rId21"/>
      <w:headerReference w:type="first" r:id="rId22"/>
      <w:footerReference w:type="first" r:id="rId23"/>
      <w:pgSz w:w="11901" w:h="16817"/>
      <w:pgMar w:top="1134" w:right="1247" w:bottom="1531" w:left="1247"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7B0" w:rsidP="00E12F9D" w:rsidRDefault="004467B0" w14:paraId="78559BD5" w14:textId="77777777">
      <w:r>
        <w:separator/>
      </w:r>
    </w:p>
  </w:endnote>
  <w:endnote w:type="continuationSeparator" w:id="0">
    <w:p w:rsidR="004467B0" w:rsidP="00E12F9D" w:rsidRDefault="004467B0" w14:paraId="79A8B0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7D" w:rsidRDefault="00B85E4F" w14:paraId="3E9D0B55" w14:textId="77777777">
    <w:pPr>
      <w:pStyle w:val="Footer"/>
    </w:pPr>
    <w:r w:rsidRPr="00D161C3">
      <w:rPr>
        <w:noProof/>
      </w:rPr>
      <mc:AlternateContent>
        <mc:Choice Requires="wps">
          <w:drawing>
            <wp:anchor distT="0" distB="0" distL="114300" distR="114300" simplePos="0" relativeHeight="251673600" behindDoc="1" locked="0" layoutInCell="1" allowOverlap="1" wp14:editId="519BE180" wp14:anchorId="63AF27EF">
              <wp:simplePos x="0" y="0"/>
              <wp:positionH relativeFrom="column">
                <wp:posOffset>-871855</wp:posOffset>
              </wp:positionH>
              <wp:positionV relativeFrom="paragraph">
                <wp:posOffset>-363643</wp:posOffset>
              </wp:positionV>
              <wp:extent cx="7738534" cy="829310"/>
              <wp:effectExtent l="0" t="0" r="0" b="0"/>
              <wp:wrapNone/>
              <wp:docPr id="10" name="Rectangle 10"/>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7a0"/>
                          </w:tblPr>
                          <w:tblGrid>
                            <w:gridCol w:w="2552"/>
                            <w:gridCol w:w="5670"/>
                            <w:gridCol w:w="1134"/>
                          </w:tblGrid>
                          <w:tr w:rsidRPr="00485247" w:rsidR="00B85E4F" w:rsidTr="00BF45E0" w14:paraId="2E8F895A" w14:textId="77777777">
                            <w:trPr>
                              <w:trHeight w:val="303"/>
                            </w:trPr>
                            <w:tc>
                              <w:tcPr>
                                <w:tcW w:w="2552" w:type="dxa"/>
                              </w:tcPr>
                              <w:p w:rsidRPr="00366CF5" w:rsidR="00B85E4F" w:rsidP="0023028A" w:rsidRDefault="00B85E4F" w14:paraId="5115D4AD" w14:textId="77777777">
                                <w:pPr>
                                  <w:pStyle w:val="Footer"/>
                                  <w:ind w:end="288"/>
                                  <w:rPr>
                                    <w:rFonts w:cs="Times New Roman (Body CS)"/>
                                    <w:b/>
                                    <w:color w:val="767171" w:themeColor="background2" w:themeShade="80"/>
                                    <w:sz w:val="16"/>
                                    <w:lang w:val="ro-RO"/>
                                  </w:rPr>
                                </w:pPr>
                                <w:r w:rsidR="0023028A">
                                  <w:rPr>
                                    <w:rFonts w:cs="Times New Roman (Body CS)"/>
                                    <w:b/>
                                    <w:color w:val="767171" w:themeColor="background2" w:themeShade="80"/>
                                    <w:sz w:val="16"/>
                                    <w:lang w:val="ro-RO"/>
                                  </w:rPr>
                                  <w:t xml:space="preserve">Europejski </w:t>
                                </w:r>
                                <w:r w:rsidRPr="00366CF5">
                                  <w:rPr>
                                    <w:rFonts w:cs="Times New Roman (Body CS)"/>
                                    <w:b/>
                                    <w:color w:val="767171" w:themeColor="background2" w:themeShade="80"/>
                                    <w:sz w:val="16"/>
                                    <w:lang w:val="ro-RO"/>
                                  </w:rPr>
                                  <w:t xml:space="preserve">Związek Zawodowy </w:t>
                                </w:r>
                                <w:r w:rsidRPr="00366CF5">
                                  <w:rPr>
                                    <w:rFonts w:cs="Times New Roman (Body CS)"/>
                                    <w:b/>
                                    <w:color w:val="767171" w:themeColor="background2" w:themeShade="80"/>
                                    <w:sz w:val="16"/>
                                    <w:lang w:val="ro-RO"/>
                                  </w:rPr>
                                  <w:t xml:space="preserve">industriAll</w:t>
                                </w:r>
                              </w:p>
                            </w:tc>
                            <w:tc>
                              <w:tcPr>
                                <w:tcW w:w="5670" w:type="dxa"/>
                              </w:tcPr>
                              <w:p w:rsidRPr="00366CF5" w:rsidR="00B85E4F" w:rsidP="00B85E4F" w:rsidRDefault="00B85E4F" w14:paraId="4D8CCDC2" w14:textId="77777777">
                                <w:pPr>
                                  <w:pStyle w:val="Footer"/>
                                  <w:rPr>
                                    <w:color w:val="767171" w:themeColor="background2" w:themeShade="80"/>
                                    <w:sz w:val="16"/>
                                    <w:szCs w:val="16"/>
                                  </w:rPr>
                                </w:pPr>
                              </w:p>
                              <w:p w:rsidRPr="00366CF5" w:rsidR="00B85E4F" w:rsidP="002C5351" w:rsidRDefault="00B85E4F" w14:paraId="2DBE6E4F" w14:textId="77777777">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rsidRPr="00366CF5" w:rsidR="00B85E4F" w:rsidP="002C5351" w:rsidRDefault="00B85E4F" w14:paraId="7D9A9693" w14:textId="77777777">
                                    <w:pPr>
                                      <w:pStyle w:val="Footer"/>
                                      <w:rPr>
                                        <w:color w:val="767171" w:themeColor="background2" w:themeShade="80"/>
                                        <w:sz w:val="16"/>
                                        <w:szCs w:val="16"/>
                                      </w:rPr>
                                    </w:pPr>
                                    <w:r w:rsidRPr="00366CF5">
                                      <w:rPr>
                                        <w:color w:val="767171" w:themeColor="background2" w:themeShade="80"/>
                                        <w:sz w:val="16"/>
                                        <w:szCs w:val="16"/>
                                      </w:rPr>
                                      <w:t xml:space="preserve">Strona</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należąca do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rsidRPr="00FE367D" w:rsidR="00B85E4F" w:rsidP="00B85E4F" w:rsidRDefault="00B85E4F" w14:paraId="53951697" w14:textId="77777777">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68.65pt;margin-top:-28.65pt;width:609.35pt;height:6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e7e6e6 [321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" w14:anchorId="63AF27EF">
              <v:textbox inset=",3mm,,0">
                <w:txbxContent>
                  <w:tbl>
                    <w:tblPr>
                      <w:tblStyle w:val="TableGrid"/>
                      <w:tblW w:w="9356" w:type="dxa"/>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7a0"/>
                    </w:tblPr>
                    <w:tblGrid>
                      <w:gridCol w:w="2552"/>
                      <w:gridCol w:w="5670"/>
                      <w:gridCol w:w="1134"/>
                    </w:tblGrid>
                    <w:tr w:rsidRPr="00485247" w:rsidR="00B85E4F" w:rsidTr="00BF45E0" w14:paraId="2E8F895A" w14:textId="77777777">
                      <w:trPr>
                        <w:trHeight w:val="303"/>
                      </w:trPr>
                      <w:tc>
                        <w:tcPr>
                          <w:tcW w:w="2552" w:type="dxa"/>
                        </w:tcPr>
                        <w:p w:rsidRPr="00366CF5" w:rsidR="00B85E4F" w:rsidP="0023028A" w:rsidRDefault="00B85E4F" w14:paraId="5115D4AD" w14:textId="77777777">
                          <w:pPr>
                            <w:pStyle w:val="Footer"/>
                            <w:ind w:end="288"/>
                            <w:rPr>
                              <w:rFonts w:cs="Times New Roman (Body CS)"/>
                              <w:b/>
                              <w:color w:val="767171" w:themeColor="background2" w:themeShade="80"/>
                              <w:sz w:val="16"/>
                              <w:lang w:val="ro-RO"/>
                            </w:rPr>
                          </w:pPr>
                          <w:r w:rsidR="0023028A">
                            <w:rPr>
                              <w:rFonts w:cs="Times New Roman (Body CS)"/>
                              <w:b/>
                              <w:color w:val="767171" w:themeColor="background2" w:themeShade="80"/>
                              <w:sz w:val="16"/>
                              <w:lang w:val="ro-RO"/>
                            </w:rPr>
                            <w:t xml:space="preserve">Europejskiego </w:t>
                          </w:r>
                          <w:r w:rsidRPr="00366CF5">
                            <w:rPr>
                              <w:rFonts w:cs="Times New Roman (Body CS)"/>
                              <w:b/>
                              <w:color w:val="767171" w:themeColor="background2" w:themeShade="80"/>
                              <w:sz w:val="16"/>
                              <w:lang w:val="ro-RO"/>
                            </w:rPr>
                            <w:t xml:space="preserve">Związku Zawodowego </w:t>
                          </w:r>
                          <w:r w:rsidRPr="00366CF5">
                            <w:rPr>
                              <w:rFonts w:cs="Times New Roman (Body CS)"/>
                              <w:b/>
                              <w:color w:val="767171" w:themeColor="background2" w:themeShade="80"/>
                              <w:sz w:val="16"/>
                              <w:lang w:val="ro-RO"/>
                            </w:rPr>
                            <w:t xml:space="preserve">industriAll</w:t>
                          </w:r>
                        </w:p>
                      </w:tc>
                      <w:tc>
                        <w:tcPr>
                          <w:tcW w:w="5670" w:type="dxa"/>
                        </w:tcPr>
                        <w:p w:rsidRPr="00366CF5" w:rsidR="00B85E4F" w:rsidP="00B85E4F" w:rsidRDefault="00B85E4F" w14:paraId="4D8CCDC2" w14:textId="77777777">
                          <w:pPr>
                            <w:pStyle w:val="Footer"/>
                            <w:rPr>
                              <w:color w:val="767171" w:themeColor="background2" w:themeShade="80"/>
                              <w:sz w:val="16"/>
                              <w:szCs w:val="16"/>
                            </w:rPr>
                          </w:pPr>
                        </w:p>
                        <w:p w:rsidRPr="00366CF5" w:rsidR="00B85E4F" w:rsidP="002C5351" w:rsidRDefault="00B85E4F" w14:paraId="2DBE6E4F" w14:textId="77777777">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rsidRPr="00366CF5" w:rsidR="00B85E4F" w:rsidP="002C5351" w:rsidRDefault="00B85E4F" w14:paraId="7D9A9693" w14:textId="77777777">
                              <w:pPr>
                                <w:pStyle w:val="Footer"/>
                                <w:rPr>
                                  <w:color w:val="767171" w:themeColor="background2" w:themeShade="80"/>
                                  <w:sz w:val="16"/>
                                  <w:szCs w:val="16"/>
                                </w:rPr>
                              </w:pPr>
                              <w:r w:rsidRPr="00366CF5">
                                <w:rPr>
                                  <w:color w:val="767171" w:themeColor="background2" w:themeShade="80"/>
                                  <w:sz w:val="16"/>
                                  <w:szCs w:val="16"/>
                                </w:rPr>
                                <w:t xml:space="preserve">Strona</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z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rsidRPr="00FE367D" w:rsidR="00B85E4F" w:rsidP="00B85E4F" w:rsidRDefault="00B85E4F" w14:paraId="53951697" w14:textId="77777777">
                    <w:pPr>
                      <w:rPr>
                        <w:color w:val="000000" w:themeColor="text1"/>
                      </w:rPr>
                    </w:pPr>
                  </w:p>
                </w:txbxContent>
              </v:textbox>
            </v:rect>
          </w:pict>
        </mc:Fallback>
      </mc:AlternateContent>
    </w:r>
  </w:p>
</w:ftr>
</file>

<file path=word/footer2.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274B" w:rsidR="007476A6" w:rsidP="00B6274B" w:rsidRDefault="007476A6" w14:paraId="2F5E8D6E" w14:textId="77777777">
    <w:pPr>
      <w:pStyle w:val="Footer"/>
      <w:framePr w:wrap="none" w:hAnchor="page" w:vAnchor="text" w:x="9374" w:y="25"/>
      <w:rPr>
        <w:rStyle w:val="PageNumber"/>
        <w:color w:val="000000" w:themeColor="text1"/>
        <w:sz w:val="16"/>
        <w:szCs w:val="16"/>
      </w:rPr>
    </w:pPr>
  </w:p>
  <w:p w:rsidR="00716BA7" w:rsidP="00BF45E0" w:rsidRDefault="00B85E4F" w14:paraId="59648535" w14:textId="77777777">
    <w:pPr>
      <w:pStyle w:val="Footer"/>
      <w:tabs>
        <w:tab w:val="clear" w:pos="4513"/>
        <w:tab w:val="clear" w:pos="9026"/>
        <w:tab w:val="left" w:pos="2947"/>
      </w:tabs>
    </w:pPr>
    <w:r w:rsidRPr="00D161C3">
      <w:rPr>
        <w:noProof/>
      </w:rPr>
      <mc:AlternateContent>
        <mc:Choice Requires="wps">
          <w:drawing>
            <wp:anchor distT="0" distB="0" distL="114300" distR="114300" simplePos="0" relativeHeight="251671552" behindDoc="1" locked="0" layoutInCell="1" allowOverlap="1" wp14:editId="050A10CB" wp14:anchorId="495CB7F5">
              <wp:simplePos x="0" y="0"/>
              <wp:positionH relativeFrom="column">
                <wp:posOffset>-901912</wp:posOffset>
              </wp:positionH>
              <wp:positionV relativeFrom="paragraph">
                <wp:posOffset>-357717</wp:posOffset>
              </wp:positionV>
              <wp:extent cx="7738534" cy="829310"/>
              <wp:effectExtent l="0" t="0" r="0" b="0"/>
              <wp:wrapNone/>
              <wp:docPr id="2" name="Rectangle 2"/>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7a0"/>
                          </w:tblPr>
                          <w:tblGrid>
                            <w:gridCol w:w="2552"/>
                            <w:gridCol w:w="5670"/>
                            <w:gridCol w:w="1134"/>
                          </w:tblGrid>
                          <w:tr w:rsidRPr="00485247" w:rsidR="0062793E" w:rsidTr="00BF45E0" w14:paraId="3A957E6E" w14:textId="77777777">
                            <w:trPr>
                              <w:trHeight w:val="303"/>
                            </w:trPr>
                            <w:tc>
                              <w:tcPr>
                                <w:tcW w:w="2552" w:type="dxa"/>
                              </w:tcPr>
                              <w:p w:rsidRPr="00366CF5" w:rsidR="0062793E" w:rsidP="0062793E" w:rsidRDefault="0062793E" w14:paraId="554B03A8" w14:textId="54768647">
                                <w:pPr>
                                  <w:pStyle w:val="Footer"/>
                                  <w:ind w:end="288"/>
                                  <w:rPr>
                                    <w:rFonts w:cs="Times New Roman (Body CS)"/>
                                    <w:b/>
                                    <w:color w:val="767171" w:themeColor="background2" w:themeShade="80"/>
                                    <w:sz w:val="16"/>
                                    <w:lang w:val="ro-RO"/>
                                  </w:rPr>
                                </w:pPr>
                                <w:r>
                                  <w:rPr>
                                    <w:rFonts w:cs="Times New Roman (Body CS)"/>
                                    <w:b/>
                                    <w:color w:val="767171" w:themeColor="background2" w:themeShade="80"/>
                                    <w:sz w:val="16"/>
                                    <w:lang w:val="ro-RO"/>
                                  </w:rPr>
                                  <w:t xml:space="preserve">Europejski </w:t>
                                </w:r>
                                <w:r w:rsidRPr="00366CF5">
                                  <w:rPr>
                                    <w:rFonts w:cs="Times New Roman (Body CS)"/>
                                    <w:b/>
                                    <w:color w:val="767171" w:themeColor="background2" w:themeShade="80"/>
                                    <w:sz w:val="16"/>
                                    <w:lang w:val="ro-RO"/>
                                  </w:rPr>
                                  <w:t xml:space="preserve">Związek Zawodowy </w:t>
                                </w:r>
                                <w:r w:rsidRPr="00366CF5">
                                  <w:rPr>
                                    <w:rFonts w:cs="Times New Roman (Body CS)"/>
                                    <w:b/>
                                    <w:color w:val="767171" w:themeColor="background2" w:themeShade="80"/>
                                    <w:sz w:val="16"/>
                                    <w:lang w:val="ro-RO"/>
                                  </w:rPr>
                                  <w:t xml:space="preserve">industriAll</w:t>
                                </w:r>
                              </w:p>
                            </w:tc>
                            <w:tc>
                              <w:tcPr>
                                <w:tcW w:w="5670" w:type="dxa"/>
                              </w:tcPr>
                              <w:p w:rsidRPr="00FA7B06" w:rsidR="0062793E" w:rsidP="0062793E" w:rsidRDefault="0062793E" w14:paraId="3F5A87EF" w14:textId="77777777">
                                <w:pPr>
                                  <w:pStyle w:val="Footer"/>
                                  <w:rPr>
                                    <w:color w:val="767171" w:themeColor="background2" w:themeShade="80"/>
                                    <w:sz w:val="16"/>
                                    <w:szCs w:val="16"/>
                                    <w:lang w:val="fr-FR"/>
                                  </w:rPr>
                                </w:pPr>
                                <w:r>
                                  <w:rPr>
                                    <w:color w:val="767171" w:themeColor="background2" w:themeShade="80"/>
                                    <w:sz w:val="16"/>
                                    <w:szCs w:val="16"/>
                                    <w:lang w:val="fr-BE"/>
                                  </w:rPr>
                                  <w:t xml:space="preserve">20, Boulevard du Jardin Botanique</w:t>
                                </w:r>
                                <w:r w:rsidRPr="00FA7B06">
                                  <w:rPr>
                                    <w:color w:val="767171" w:themeColor="background2" w:themeShade="80"/>
                                    <w:sz w:val="16"/>
                                    <w:szCs w:val="16"/>
                                    <w:lang w:val="fr-FR"/>
                                  </w:rPr>
                                  <w:t xml:space="preserve">, 1000 </w:t>
                                </w:r>
                                <w:r w:rsidRPr="00FA7B06">
                                  <w:rPr>
                                    <w:color w:val="767171" w:themeColor="background2" w:themeShade="80"/>
                                    <w:sz w:val="16"/>
                                    <w:szCs w:val="16"/>
                                    <w:lang w:val="fr-FR"/>
                                  </w:rPr>
                                  <w:t xml:space="preserve">Bruksela  | </w:t>
                                </w:r>
                                <w:r w:rsidRPr="00FA7B06">
                                  <w:rPr>
                                    <w:color w:val="767171" w:themeColor="background2" w:themeShade="80"/>
                                    <w:sz w:val="16"/>
                                    <w:szCs w:val="16"/>
                                    <w:lang w:val="fr-FR"/>
                                  </w:rPr>
                                  <w:t xml:space="preserve">+32 2 226.00.50  </w:t>
                                </w:r>
                              </w:p>
                              <w:p w:rsidRPr="00366CF5" w:rsidR="0062793E" w:rsidP="0062793E" w:rsidRDefault="0062793E" w14:paraId="334C6231" w14:textId="0F1DA0D6">
                                <w:pPr>
                                  <w:pStyle w:val="Footer"/>
                                  <w:rPr>
                                    <w:color w:val="767171" w:themeColor="background2" w:themeShade="80"/>
                                    <w:sz w:val="16"/>
                                    <w:szCs w:val="16"/>
                                  </w:rPr>
                                </w:pPr>
                                <w:r w:rsidRPr="00FA7B06">
                                  <w:rPr>
                                    <w:color w:val="767171" w:themeColor="background2" w:themeShade="80"/>
                                    <w:sz w:val="16"/>
                                    <w:szCs w:val="16"/>
                                    <w:lang w:val="fr-FR"/>
                                  </w:rPr>
                                  <w:t xml:space="preserve">info@industriall-europe.eu  |</w:t>
                                </w:r>
                                <w:r w:rsidRPr="00FA7B06">
                                  <w:rPr>
                                    <w:color w:val="767171" w:themeColor="background2" w:themeShade="80"/>
                                    <w:sz w:val="16"/>
                                    <w:szCs w:val="16"/>
                                    <w:lang w:val="fr-FR"/>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rsidRPr="00366CF5" w:rsidR="0062793E" w:rsidP="0062793E" w:rsidRDefault="0062793E" w14:paraId="145FCF04" w14:textId="77777777">
                                    <w:pPr>
                                      <w:pStyle w:val="Footer"/>
                                      <w:rPr>
                                        <w:color w:val="767171" w:themeColor="background2" w:themeShade="80"/>
                                        <w:sz w:val="16"/>
                                        <w:szCs w:val="16"/>
                                      </w:rPr>
                                    </w:pPr>
                                    <w:r w:rsidRPr="00366CF5">
                                      <w:rPr>
                                        <w:color w:val="767171" w:themeColor="background2" w:themeShade="80"/>
                                        <w:sz w:val="16"/>
                                        <w:szCs w:val="16"/>
                                      </w:rPr>
                                      <w:t xml:space="preserve">Strona</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należąca do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rsidRPr="00FE367D" w:rsidR="00485247" w:rsidP="00485247" w:rsidRDefault="00485247" w14:paraId="142021B9" w14:textId="77777777">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1pt;margin-top:-28.15pt;width:609.35pt;height:6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e7e6e6 [321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" w14:anchorId="495CB7F5">
              <v:textbox inset=",3mm,,0">
                <w:txbxContent>
                  <w:tbl>
                    <w:tblPr>
                      <w:tblStyle w:val="TableGrid"/>
                      <w:tblW w:w="9356" w:type="dxa"/>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7a0"/>
                    </w:tblPr>
                    <w:tblGrid>
                      <w:gridCol w:w="2552"/>
                      <w:gridCol w:w="5670"/>
                      <w:gridCol w:w="1134"/>
                    </w:tblGrid>
                    <w:tr w:rsidRPr="00485247" w:rsidR="0062793E" w:rsidTr="00BF45E0" w14:paraId="3A957E6E" w14:textId="77777777">
                      <w:trPr>
                        <w:trHeight w:val="303"/>
                      </w:trPr>
                      <w:tc>
                        <w:tcPr>
                          <w:tcW w:w="2552" w:type="dxa"/>
                        </w:tcPr>
                        <w:p w:rsidRPr="00366CF5" w:rsidR="0062793E" w:rsidP="0062793E" w:rsidRDefault="0062793E" w14:paraId="554B03A8" w14:textId="54768647">
                          <w:pPr>
                            <w:pStyle w:val="Footer"/>
                            <w:ind w:end="288"/>
                            <w:rPr>
                              <w:rFonts w:cs="Times New Roman (Body CS)"/>
                              <w:b/>
                              <w:color w:val="767171" w:themeColor="background2" w:themeShade="80"/>
                              <w:sz w:val="16"/>
                              <w:lang w:val="ro-RO"/>
                            </w:rPr>
                          </w:pPr>
                          <w:r>
                            <w:rPr>
                              <w:rFonts w:cs="Times New Roman (Body CS)"/>
                              <w:b/>
                              <w:color w:val="767171" w:themeColor="background2" w:themeShade="80"/>
                              <w:sz w:val="16"/>
                              <w:lang w:val="ro-RO"/>
                            </w:rPr>
                            <w:t xml:space="preserve">Europejskiego </w:t>
                          </w:r>
                          <w:r w:rsidRPr="00366CF5">
                            <w:rPr>
                              <w:rFonts w:cs="Times New Roman (Body CS)"/>
                              <w:b/>
                              <w:color w:val="767171" w:themeColor="background2" w:themeShade="80"/>
                              <w:sz w:val="16"/>
                              <w:lang w:val="ro-RO"/>
                            </w:rPr>
                            <w:t xml:space="preserve">Związku Zawodowego </w:t>
                          </w:r>
                          <w:r w:rsidRPr="00366CF5">
                            <w:rPr>
                              <w:rFonts w:cs="Times New Roman (Body CS)"/>
                              <w:b/>
                              <w:color w:val="767171" w:themeColor="background2" w:themeShade="80"/>
                              <w:sz w:val="16"/>
                              <w:lang w:val="ro-RO"/>
                            </w:rPr>
                            <w:t xml:space="preserve">industriAll</w:t>
                          </w:r>
                        </w:p>
                      </w:tc>
                      <w:tc>
                        <w:tcPr>
                          <w:tcW w:w="5670" w:type="dxa"/>
                        </w:tcPr>
                        <w:p w:rsidRPr="00FA7B06" w:rsidR="0062793E" w:rsidP="0062793E" w:rsidRDefault="0062793E" w14:paraId="3F5A87EF" w14:textId="77777777">
                          <w:pPr>
                            <w:pStyle w:val="Footer"/>
                            <w:rPr>
                              <w:color w:val="767171" w:themeColor="background2" w:themeShade="80"/>
                              <w:sz w:val="16"/>
                              <w:szCs w:val="16"/>
                              <w:lang w:val="fr-FR"/>
                            </w:rPr>
                          </w:pPr>
                          <w:r>
                            <w:rPr>
                              <w:color w:val="767171" w:themeColor="background2" w:themeShade="80"/>
                              <w:sz w:val="16"/>
                              <w:szCs w:val="16"/>
                              <w:lang w:val="fr-BE"/>
                            </w:rPr>
                            <w:t xml:space="preserve">20, Boulevard du Jardin Botanique</w:t>
                          </w:r>
                          <w:r w:rsidRPr="00FA7B06">
                            <w:rPr>
                              <w:color w:val="767171" w:themeColor="background2" w:themeShade="80"/>
                              <w:sz w:val="16"/>
                              <w:szCs w:val="16"/>
                              <w:lang w:val="fr-FR"/>
                            </w:rPr>
                            <w:t xml:space="preserve">, 1000 </w:t>
                          </w:r>
                          <w:r w:rsidRPr="00FA7B06">
                            <w:rPr>
                              <w:color w:val="767171" w:themeColor="background2" w:themeShade="80"/>
                              <w:sz w:val="16"/>
                              <w:szCs w:val="16"/>
                              <w:lang w:val="fr-FR"/>
                            </w:rPr>
                            <w:t xml:space="preserve">Bruksela  | </w:t>
                          </w:r>
                          <w:r w:rsidRPr="00FA7B06">
                            <w:rPr>
                              <w:color w:val="767171" w:themeColor="background2" w:themeShade="80"/>
                              <w:sz w:val="16"/>
                              <w:szCs w:val="16"/>
                              <w:lang w:val="fr-FR"/>
                            </w:rPr>
                            <w:t xml:space="preserve">+32 2 226.00.50  </w:t>
                          </w:r>
                        </w:p>
                        <w:p w:rsidRPr="00366CF5" w:rsidR="0062793E" w:rsidP="0062793E" w:rsidRDefault="0062793E" w14:paraId="334C6231" w14:textId="0F1DA0D6">
                          <w:pPr>
                            <w:pStyle w:val="Footer"/>
                            <w:rPr>
                              <w:color w:val="767171" w:themeColor="background2" w:themeShade="80"/>
                              <w:sz w:val="16"/>
                              <w:szCs w:val="16"/>
                            </w:rPr>
                          </w:pPr>
                          <w:r w:rsidRPr="00FA7B06">
                            <w:rPr>
                              <w:color w:val="767171" w:themeColor="background2" w:themeShade="80"/>
                              <w:sz w:val="16"/>
                              <w:szCs w:val="16"/>
                              <w:lang w:val="fr-FR"/>
                            </w:rPr>
                            <w:t xml:space="preserve">info@industriall-europe.eu  |</w:t>
                          </w:r>
                          <w:r w:rsidRPr="00FA7B06">
                            <w:rPr>
                              <w:color w:val="767171" w:themeColor="background2" w:themeShade="80"/>
                              <w:sz w:val="16"/>
                              <w:szCs w:val="16"/>
                              <w:lang w:val="fr-FR"/>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rsidRPr="00366CF5" w:rsidR="0062793E" w:rsidP="0062793E" w:rsidRDefault="0062793E" w14:paraId="145FCF04" w14:textId="77777777">
                              <w:pPr>
                                <w:pStyle w:val="Footer"/>
                                <w:rPr>
                                  <w:color w:val="767171" w:themeColor="background2" w:themeShade="80"/>
                                  <w:sz w:val="16"/>
                                  <w:szCs w:val="16"/>
                                </w:rPr>
                              </w:pPr>
                              <w:r w:rsidRPr="00366CF5">
                                <w:rPr>
                                  <w:color w:val="767171" w:themeColor="background2" w:themeShade="80"/>
                                  <w:sz w:val="16"/>
                                  <w:szCs w:val="16"/>
                                </w:rPr>
                                <w:t xml:space="preserve">Strona</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z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rsidRPr="00FE367D" w:rsidR="00485247" w:rsidP="00485247" w:rsidRDefault="00485247" w14:paraId="142021B9" w14:textId="77777777">
                    <w:pPr>
                      <w:rPr>
                        <w:color w:val="000000" w:themeColor="text1"/>
                      </w:rPr>
                    </w:pPr>
                  </w:p>
                </w:txbxContent>
              </v:textbox>
            </v:rect>
          </w:pict>
        </mc:Fallback>
      </mc:AlternateContent>
    </w:r>
    <w:r w:rsidR="00BF45E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7B0" w:rsidP="00E12F9D" w:rsidRDefault="004467B0" w14:paraId="230CED0D" w14:textId="77777777">
      <w:r>
        <w:separator/>
      </w:r>
    </w:p>
  </w:footnote>
  <w:footnote w:type="continuationSeparator" w:id="0">
    <w:p w:rsidR="004467B0" w:rsidP="00E12F9D" w:rsidRDefault="004467B0" w14:paraId="0362A894" w14:textId="77777777">
      <w:r>
        <w:continuationSeparator/>
      </w:r>
    </w:p>
  </w:footnote>
  <w:footnote w:id="1">
    <w:p w:rsidRPr="00486CAF" w:rsidR="002707B0" w:rsidP="00F52B9E" w:rsidRDefault="002707B0" w14:paraId="4EE7E9ED" w14:textId="576CFD4D">
      <w:pPr>
        <w:pStyle w:val="FootnoteText"/>
        <w:jc w:val="both"/>
        <w:rPr>
          <w:lang w:val="en-US"/>
        </w:rPr>
      </w:pPr>
      <w:r>
        <w:rPr>
          <w:rStyle w:val="FootnoteReference"/>
        </w:rPr>
        <w:footnoteRef/>
      </w:r>
      <w:r>
        <w:t xml:space="preserve"> </w:t>
      </w:r>
      <w:hyperlink w:history="1" r:id="rId1">
        <w:r w:rsidRPr="00210412">
          <w:rPr>
            <w:rStyle w:val="Hyperlink"/>
          </w:rPr>
          <w:t xml:space="preserve">Jest to zgodne z naszymi postulatami wobec </w:t>
        </w:r>
        <w:r w:rsidRPr="00210412">
          <w:rPr>
            <w:rStyle w:val="Hyperlink"/>
            <w:lang w:val="en-US"/>
          </w:rPr>
          <w:t xml:space="preserve">CID, przedstawionymi w dokumentach programowych przyjętych podczas posiedzenia Komitetu Wykonawczego w listopadzie 2025 r.</w:t>
        </w:r>
      </w:hyperlink>
    </w:p>
  </w:footnote>
  <w:footnote w:id="2">
    <w:p w:rsidRPr="005279F9" w:rsidR="002707B0" w:rsidP="002707B0" w:rsidRDefault="002707B0" w14:paraId="3205FEF7" w14:textId="77777777">
      <w:pPr>
        <w:pStyle w:val="FootnoteText"/>
        <w:rPr>
          <w:lang w:val="en-US"/>
        </w:rPr>
      </w:pPr>
      <w:r>
        <w:rPr>
          <w:rStyle w:val="FootnoteReference"/>
        </w:rPr>
        <w:footnoteRef/>
      </w:r>
      <w:r>
        <w:t xml:space="preserve"> </w:t>
      </w:r>
      <w:r>
        <w:rPr>
          <w:lang w:val="en-US"/>
        </w:rPr>
        <w:t xml:space="preserve">Europejskiego Forum Pieniężno-Finansowego (lipiec 2025 r.)</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FA" w:rsidRDefault="004D76FA" w14:paraId="5C3F30D4" w14:textId="77777777"/>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tblPr>
    <w:tblGrid>
      <w:gridCol w:w="4505"/>
      <w:gridCol w:w="4851"/>
    </w:tblGrid>
    <w:tr w:rsidR="004D76FA" w:rsidTr="00A3589C" w14:paraId="78F692A2" w14:textId="77777777">
      <w:trPr>
        <w:trHeight w:val="426"/>
      </w:trPr>
      <w:tc>
        <w:tcPr>
          <w:tcW w:w="4505" w:type="dxa"/>
        </w:tcPr>
        <w:p w:rsidRPr="00D47BCE" w:rsidR="004D76FA" w:rsidP="00A3589C" w:rsidRDefault="004D76FA" w14:paraId="7F08EC09" w14:textId="681698C0">
          <w:pPr>
            <w:rPr>
              <w:lang w:val="en-GB"/>
            </w:rPr>
          </w:pPr>
        </w:p>
      </w:tc>
      <w:tc>
        <w:tcPr>
          <w:tcW w:w="4851" w:type="dxa"/>
        </w:tcPr>
        <w:p w:rsidR="004D76FA" w:rsidP="004D76FA" w:rsidRDefault="004D76FA" w14:paraId="145416AC" w14:textId="77777777">
          <w:pPr>
            <w:pStyle w:val="Header"/>
            <w:jc w:val="right"/>
          </w:pPr>
          <w:r>
            <w:rPr>
              <w:noProof/>
            </w:rPr>
            <w:drawing>
              <wp:inline distT="0" distB="0" distL="0" distR="0" wp14:anchorId="4D8313A7" wp14:editId="3895BE37">
                <wp:extent cx="1300587" cy="3078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318513" cy="312048"/>
                        </a:xfrm>
                        <a:prstGeom prst="rect">
                          <a:avLst/>
                        </a:prstGeom>
                        <a:ln>
                          <a:noFill/>
                        </a:ln>
                      </pic:spPr>
                    </pic:pic>
                  </a:graphicData>
                </a:graphic>
              </wp:inline>
            </w:drawing>
          </w:r>
        </w:p>
      </w:tc>
    </w:tr>
  </w:tbl>
  <w:p w:rsidR="007D318E" w:rsidRDefault="007D318E" w14:paraId="26643C00"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9D" w:rsidRDefault="00460210" w14:paraId="0DA91697" w14:textId="77777777">
    <w:pPr>
      <w:pStyle w:val="Header"/>
    </w:pPr>
    <w:r>
      <w:rPr>
        <w:noProof/>
      </w:rPr>
      <mc:AlternateContent>
        <mc:Choice Requires="wps">
          <w:drawing>
            <wp:anchor distT="0" distB="0" distL="114300" distR="114300" simplePos="0" relativeHeight="251666430" behindDoc="0" locked="0" layoutInCell="1" allowOverlap="1" wp14:editId="41392C13" wp14:anchorId="6426D7FF">
              <wp:simplePos x="0" y="0"/>
              <wp:positionH relativeFrom="column">
                <wp:posOffset>-851112</wp:posOffset>
              </wp:positionH>
              <wp:positionV relativeFrom="paragraph">
                <wp:posOffset>-398569</wp:posOffset>
              </wp:positionV>
              <wp:extent cx="7635664" cy="1439333"/>
              <wp:effectExtent l="0" t="0" r="0" b="0"/>
              <wp:wrapNone/>
              <wp:docPr id="8" name="Rectangle 8"/>
              <wp:cNvGraphicFramePr/>
              <a:graphic xmlns:a="http://schemas.openxmlformats.org/drawingml/2006/main">
                <a:graphicData uri="http://schemas.microsoft.com/office/word/2010/wordprocessingShape">
                  <wps:wsp>
                    <wps:cNvSpPr/>
                    <wps:spPr>
                      <a:xfrm>
                        <a:off x="0" y="0"/>
                        <a:ext cx="7635664" cy="143933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67pt;margin-top:-31.4pt;width:601.25pt;height:113.35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321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" w14:anchorId="7A5138A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4C"/>
    <w:multiLevelType w:val="hybridMultilevel"/>
    <w:tmpl w:val="E7183236"/>
    <w:lvl w:ilvl="0" w:tplc="A2C4D390">
      <w:start w:val="1"/>
      <w:numFmt w:val="bullet"/>
      <w:lvlText w:val=""/>
      <w:lvlJc w:val="left"/>
      <w:pPr>
        <w:tabs>
          <w:tab w:val="num" w:pos="720"/>
        </w:tabs>
        <w:ind w:left="720" w:hanging="360"/>
      </w:pPr>
      <w:rPr>
        <w:rFonts w:ascii="Symbol" w:hAnsi="Symbol" w:hint="default"/>
      </w:rPr>
    </w:lvl>
    <w:lvl w:ilvl="1" w:tplc="B4686BF0" w:tentative="1">
      <w:start w:val="1"/>
      <w:numFmt w:val="bullet"/>
      <w:lvlText w:val=""/>
      <w:lvlJc w:val="left"/>
      <w:pPr>
        <w:tabs>
          <w:tab w:val="num" w:pos="1440"/>
        </w:tabs>
        <w:ind w:left="1440" w:hanging="360"/>
      </w:pPr>
      <w:rPr>
        <w:rFonts w:ascii="Symbol" w:hAnsi="Symbol" w:hint="default"/>
      </w:rPr>
    </w:lvl>
    <w:lvl w:ilvl="2" w:tplc="7402DAE2" w:tentative="1">
      <w:start w:val="1"/>
      <w:numFmt w:val="bullet"/>
      <w:lvlText w:val=""/>
      <w:lvlJc w:val="left"/>
      <w:pPr>
        <w:tabs>
          <w:tab w:val="num" w:pos="2160"/>
        </w:tabs>
        <w:ind w:left="2160" w:hanging="360"/>
      </w:pPr>
      <w:rPr>
        <w:rFonts w:ascii="Symbol" w:hAnsi="Symbol" w:hint="default"/>
      </w:rPr>
    </w:lvl>
    <w:lvl w:ilvl="3" w:tplc="AFEA17B6" w:tentative="1">
      <w:start w:val="1"/>
      <w:numFmt w:val="bullet"/>
      <w:lvlText w:val=""/>
      <w:lvlJc w:val="left"/>
      <w:pPr>
        <w:tabs>
          <w:tab w:val="num" w:pos="2880"/>
        </w:tabs>
        <w:ind w:left="2880" w:hanging="360"/>
      </w:pPr>
      <w:rPr>
        <w:rFonts w:ascii="Symbol" w:hAnsi="Symbol" w:hint="default"/>
      </w:rPr>
    </w:lvl>
    <w:lvl w:ilvl="4" w:tplc="136C623C" w:tentative="1">
      <w:start w:val="1"/>
      <w:numFmt w:val="bullet"/>
      <w:lvlText w:val=""/>
      <w:lvlJc w:val="left"/>
      <w:pPr>
        <w:tabs>
          <w:tab w:val="num" w:pos="3600"/>
        </w:tabs>
        <w:ind w:left="3600" w:hanging="360"/>
      </w:pPr>
      <w:rPr>
        <w:rFonts w:ascii="Symbol" w:hAnsi="Symbol" w:hint="default"/>
      </w:rPr>
    </w:lvl>
    <w:lvl w:ilvl="5" w:tplc="058AE6CE" w:tentative="1">
      <w:start w:val="1"/>
      <w:numFmt w:val="bullet"/>
      <w:lvlText w:val=""/>
      <w:lvlJc w:val="left"/>
      <w:pPr>
        <w:tabs>
          <w:tab w:val="num" w:pos="4320"/>
        </w:tabs>
        <w:ind w:left="4320" w:hanging="360"/>
      </w:pPr>
      <w:rPr>
        <w:rFonts w:ascii="Symbol" w:hAnsi="Symbol" w:hint="default"/>
      </w:rPr>
    </w:lvl>
    <w:lvl w:ilvl="6" w:tplc="2FA2DD3E" w:tentative="1">
      <w:start w:val="1"/>
      <w:numFmt w:val="bullet"/>
      <w:lvlText w:val=""/>
      <w:lvlJc w:val="left"/>
      <w:pPr>
        <w:tabs>
          <w:tab w:val="num" w:pos="5040"/>
        </w:tabs>
        <w:ind w:left="5040" w:hanging="360"/>
      </w:pPr>
      <w:rPr>
        <w:rFonts w:ascii="Symbol" w:hAnsi="Symbol" w:hint="default"/>
      </w:rPr>
    </w:lvl>
    <w:lvl w:ilvl="7" w:tplc="210E7C16" w:tentative="1">
      <w:start w:val="1"/>
      <w:numFmt w:val="bullet"/>
      <w:lvlText w:val=""/>
      <w:lvlJc w:val="left"/>
      <w:pPr>
        <w:tabs>
          <w:tab w:val="num" w:pos="5760"/>
        </w:tabs>
        <w:ind w:left="5760" w:hanging="360"/>
      </w:pPr>
      <w:rPr>
        <w:rFonts w:ascii="Symbol" w:hAnsi="Symbol" w:hint="default"/>
      </w:rPr>
    </w:lvl>
    <w:lvl w:ilvl="8" w:tplc="CB3665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770F97"/>
    <w:multiLevelType w:val="hybridMultilevel"/>
    <w:tmpl w:val="6BF88A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934388"/>
    <w:multiLevelType w:val="hybridMultilevel"/>
    <w:tmpl w:val="D088A2E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9015E"/>
    <w:multiLevelType w:val="multilevel"/>
    <w:tmpl w:val="BABC4D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4" w15:restartNumberingAfterBreak="0">
    <w:nsid w:val="067438D2"/>
    <w:multiLevelType w:val="hybridMultilevel"/>
    <w:tmpl w:val="23A4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B0466"/>
    <w:multiLevelType w:val="hybridMultilevel"/>
    <w:tmpl w:val="9CFCF6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ADC5AA9"/>
    <w:multiLevelType w:val="multilevel"/>
    <w:tmpl w:val="BABC4D98"/>
    <w:styleLink w:val="Style1"/>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7" w15:restartNumberingAfterBreak="0">
    <w:nsid w:val="0E521EB9"/>
    <w:multiLevelType w:val="hybridMultilevel"/>
    <w:tmpl w:val="9390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D2FF8"/>
    <w:multiLevelType w:val="hybridMultilevel"/>
    <w:tmpl w:val="06AC679C"/>
    <w:lvl w:ilvl="0" w:tplc="3DFC49B0">
      <w:start w:val="1"/>
      <w:numFmt w:val="bullet"/>
      <w:lvlText w:val=""/>
      <w:lvlJc w:val="left"/>
      <w:pPr>
        <w:tabs>
          <w:tab w:val="num" w:pos="720"/>
        </w:tabs>
        <w:ind w:left="720" w:hanging="360"/>
      </w:pPr>
      <w:rPr>
        <w:rFonts w:ascii="Symbol" w:hAnsi="Symbol" w:hint="default"/>
      </w:rPr>
    </w:lvl>
    <w:lvl w:ilvl="1" w:tplc="707A5FB2" w:tentative="1">
      <w:start w:val="1"/>
      <w:numFmt w:val="bullet"/>
      <w:lvlText w:val=""/>
      <w:lvlJc w:val="left"/>
      <w:pPr>
        <w:tabs>
          <w:tab w:val="num" w:pos="1440"/>
        </w:tabs>
        <w:ind w:left="1440" w:hanging="360"/>
      </w:pPr>
      <w:rPr>
        <w:rFonts w:ascii="Symbol" w:hAnsi="Symbol" w:hint="default"/>
      </w:rPr>
    </w:lvl>
    <w:lvl w:ilvl="2" w:tplc="840AD62C" w:tentative="1">
      <w:start w:val="1"/>
      <w:numFmt w:val="bullet"/>
      <w:lvlText w:val=""/>
      <w:lvlJc w:val="left"/>
      <w:pPr>
        <w:tabs>
          <w:tab w:val="num" w:pos="2160"/>
        </w:tabs>
        <w:ind w:left="2160" w:hanging="360"/>
      </w:pPr>
      <w:rPr>
        <w:rFonts w:ascii="Symbol" w:hAnsi="Symbol" w:hint="default"/>
      </w:rPr>
    </w:lvl>
    <w:lvl w:ilvl="3" w:tplc="FFA2AA34" w:tentative="1">
      <w:start w:val="1"/>
      <w:numFmt w:val="bullet"/>
      <w:lvlText w:val=""/>
      <w:lvlJc w:val="left"/>
      <w:pPr>
        <w:tabs>
          <w:tab w:val="num" w:pos="2880"/>
        </w:tabs>
        <w:ind w:left="2880" w:hanging="360"/>
      </w:pPr>
      <w:rPr>
        <w:rFonts w:ascii="Symbol" w:hAnsi="Symbol" w:hint="default"/>
      </w:rPr>
    </w:lvl>
    <w:lvl w:ilvl="4" w:tplc="08948BE4" w:tentative="1">
      <w:start w:val="1"/>
      <w:numFmt w:val="bullet"/>
      <w:lvlText w:val=""/>
      <w:lvlJc w:val="left"/>
      <w:pPr>
        <w:tabs>
          <w:tab w:val="num" w:pos="3600"/>
        </w:tabs>
        <w:ind w:left="3600" w:hanging="360"/>
      </w:pPr>
      <w:rPr>
        <w:rFonts w:ascii="Symbol" w:hAnsi="Symbol" w:hint="default"/>
      </w:rPr>
    </w:lvl>
    <w:lvl w:ilvl="5" w:tplc="3E76BDCA" w:tentative="1">
      <w:start w:val="1"/>
      <w:numFmt w:val="bullet"/>
      <w:lvlText w:val=""/>
      <w:lvlJc w:val="left"/>
      <w:pPr>
        <w:tabs>
          <w:tab w:val="num" w:pos="4320"/>
        </w:tabs>
        <w:ind w:left="4320" w:hanging="360"/>
      </w:pPr>
      <w:rPr>
        <w:rFonts w:ascii="Symbol" w:hAnsi="Symbol" w:hint="default"/>
      </w:rPr>
    </w:lvl>
    <w:lvl w:ilvl="6" w:tplc="94364746" w:tentative="1">
      <w:start w:val="1"/>
      <w:numFmt w:val="bullet"/>
      <w:lvlText w:val=""/>
      <w:lvlJc w:val="left"/>
      <w:pPr>
        <w:tabs>
          <w:tab w:val="num" w:pos="5040"/>
        </w:tabs>
        <w:ind w:left="5040" w:hanging="360"/>
      </w:pPr>
      <w:rPr>
        <w:rFonts w:ascii="Symbol" w:hAnsi="Symbol" w:hint="default"/>
      </w:rPr>
    </w:lvl>
    <w:lvl w:ilvl="7" w:tplc="C756A98C" w:tentative="1">
      <w:start w:val="1"/>
      <w:numFmt w:val="bullet"/>
      <w:lvlText w:val=""/>
      <w:lvlJc w:val="left"/>
      <w:pPr>
        <w:tabs>
          <w:tab w:val="num" w:pos="5760"/>
        </w:tabs>
        <w:ind w:left="5760" w:hanging="360"/>
      </w:pPr>
      <w:rPr>
        <w:rFonts w:ascii="Symbol" w:hAnsi="Symbol" w:hint="default"/>
      </w:rPr>
    </w:lvl>
    <w:lvl w:ilvl="8" w:tplc="F648F4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36B1C2D"/>
    <w:multiLevelType w:val="hybridMultilevel"/>
    <w:tmpl w:val="F918A8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4595208"/>
    <w:multiLevelType w:val="hybridMultilevel"/>
    <w:tmpl w:val="5438833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4E2ABF"/>
    <w:multiLevelType w:val="hybridMultilevel"/>
    <w:tmpl w:val="68F4BE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D2FE6"/>
    <w:multiLevelType w:val="hybridMultilevel"/>
    <w:tmpl w:val="AF6A2168"/>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C60C8"/>
    <w:multiLevelType w:val="hybridMultilevel"/>
    <w:tmpl w:val="603C5820"/>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43AFF"/>
    <w:multiLevelType w:val="hybridMultilevel"/>
    <w:tmpl w:val="685C2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C31B83"/>
    <w:multiLevelType w:val="hybridMultilevel"/>
    <w:tmpl w:val="6E30C8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0A01589"/>
    <w:multiLevelType w:val="multilevel"/>
    <w:tmpl w:val="BABC4D98"/>
    <w:numStyleLink w:val="Style1"/>
  </w:abstractNum>
  <w:abstractNum w:abstractNumId="17" w15:restartNumberingAfterBreak="0">
    <w:nsid w:val="31751D29"/>
    <w:multiLevelType w:val="hybridMultilevel"/>
    <w:tmpl w:val="C3AC4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803EE2"/>
    <w:multiLevelType w:val="hybridMultilevel"/>
    <w:tmpl w:val="6A9A23B0"/>
    <w:lvl w:ilvl="0" w:tplc="04090001">
      <w:start w:val="1"/>
      <w:numFmt w:val="bullet"/>
      <w:lvlText w:val=""/>
      <w:lvlJc w:val="left"/>
      <w:pPr>
        <w:ind w:left="1080" w:hanging="360"/>
      </w:pPr>
      <w:rPr>
        <w:rFonts w:ascii="Symbol" w:hAnsi="Symbol" w:hint="default"/>
      </w:rPr>
    </w:lvl>
    <w:lvl w:ilvl="1" w:tplc="2534AAAA">
      <w:start w:val="1"/>
      <w:numFmt w:val="bullet"/>
      <w:lvlText w:val=""/>
      <w:lvlJc w:val="left"/>
      <w:pPr>
        <w:ind w:left="1800" w:hanging="360"/>
      </w:pPr>
      <w:rPr>
        <w:rFonts w:ascii="Symbol" w:hAnsi="Symbol" w:hint="default"/>
        <w:b/>
        <w:i w:val="0"/>
        <w:color w:val="254A96"/>
        <w:w w:val="100"/>
        <w:sz w:val="2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3F55C6"/>
    <w:multiLevelType w:val="hybridMultilevel"/>
    <w:tmpl w:val="0456C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1303B"/>
    <w:multiLevelType w:val="hybridMultilevel"/>
    <w:tmpl w:val="FBA814E6"/>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371CE"/>
    <w:multiLevelType w:val="hybridMultilevel"/>
    <w:tmpl w:val="688A0A2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46EFF"/>
    <w:multiLevelType w:val="hybridMultilevel"/>
    <w:tmpl w:val="1778BF52"/>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66F6C"/>
    <w:multiLevelType w:val="hybridMultilevel"/>
    <w:tmpl w:val="AA9EDA2A"/>
    <w:lvl w:ilvl="0" w:tplc="0614A216">
      <w:start w:val="1"/>
      <w:numFmt w:val="bullet"/>
      <w:lvlText w:val=""/>
      <w:lvlJc w:val="left"/>
      <w:pPr>
        <w:tabs>
          <w:tab w:val="num" w:pos="720"/>
        </w:tabs>
        <w:ind w:left="720" w:hanging="360"/>
      </w:pPr>
      <w:rPr>
        <w:rFonts w:ascii="Symbol" w:hAnsi="Symbol" w:hint="default"/>
      </w:rPr>
    </w:lvl>
    <w:lvl w:ilvl="1" w:tplc="A7F860C6" w:tentative="1">
      <w:start w:val="1"/>
      <w:numFmt w:val="bullet"/>
      <w:lvlText w:val=""/>
      <w:lvlJc w:val="left"/>
      <w:pPr>
        <w:tabs>
          <w:tab w:val="num" w:pos="1440"/>
        </w:tabs>
        <w:ind w:left="1440" w:hanging="360"/>
      </w:pPr>
      <w:rPr>
        <w:rFonts w:ascii="Symbol" w:hAnsi="Symbol" w:hint="default"/>
      </w:rPr>
    </w:lvl>
    <w:lvl w:ilvl="2" w:tplc="11843656" w:tentative="1">
      <w:start w:val="1"/>
      <w:numFmt w:val="bullet"/>
      <w:lvlText w:val=""/>
      <w:lvlJc w:val="left"/>
      <w:pPr>
        <w:tabs>
          <w:tab w:val="num" w:pos="2160"/>
        </w:tabs>
        <w:ind w:left="2160" w:hanging="360"/>
      </w:pPr>
      <w:rPr>
        <w:rFonts w:ascii="Symbol" w:hAnsi="Symbol" w:hint="default"/>
      </w:rPr>
    </w:lvl>
    <w:lvl w:ilvl="3" w:tplc="0A667058" w:tentative="1">
      <w:start w:val="1"/>
      <w:numFmt w:val="bullet"/>
      <w:lvlText w:val=""/>
      <w:lvlJc w:val="left"/>
      <w:pPr>
        <w:tabs>
          <w:tab w:val="num" w:pos="2880"/>
        </w:tabs>
        <w:ind w:left="2880" w:hanging="360"/>
      </w:pPr>
      <w:rPr>
        <w:rFonts w:ascii="Symbol" w:hAnsi="Symbol" w:hint="default"/>
      </w:rPr>
    </w:lvl>
    <w:lvl w:ilvl="4" w:tplc="3E5EF060" w:tentative="1">
      <w:start w:val="1"/>
      <w:numFmt w:val="bullet"/>
      <w:lvlText w:val=""/>
      <w:lvlJc w:val="left"/>
      <w:pPr>
        <w:tabs>
          <w:tab w:val="num" w:pos="3600"/>
        </w:tabs>
        <w:ind w:left="3600" w:hanging="360"/>
      </w:pPr>
      <w:rPr>
        <w:rFonts w:ascii="Symbol" w:hAnsi="Symbol" w:hint="default"/>
      </w:rPr>
    </w:lvl>
    <w:lvl w:ilvl="5" w:tplc="4F5294E8" w:tentative="1">
      <w:start w:val="1"/>
      <w:numFmt w:val="bullet"/>
      <w:lvlText w:val=""/>
      <w:lvlJc w:val="left"/>
      <w:pPr>
        <w:tabs>
          <w:tab w:val="num" w:pos="4320"/>
        </w:tabs>
        <w:ind w:left="4320" w:hanging="360"/>
      </w:pPr>
      <w:rPr>
        <w:rFonts w:ascii="Symbol" w:hAnsi="Symbol" w:hint="default"/>
      </w:rPr>
    </w:lvl>
    <w:lvl w:ilvl="6" w:tplc="2D101E04" w:tentative="1">
      <w:start w:val="1"/>
      <w:numFmt w:val="bullet"/>
      <w:lvlText w:val=""/>
      <w:lvlJc w:val="left"/>
      <w:pPr>
        <w:tabs>
          <w:tab w:val="num" w:pos="5040"/>
        </w:tabs>
        <w:ind w:left="5040" w:hanging="360"/>
      </w:pPr>
      <w:rPr>
        <w:rFonts w:ascii="Symbol" w:hAnsi="Symbol" w:hint="default"/>
      </w:rPr>
    </w:lvl>
    <w:lvl w:ilvl="7" w:tplc="F9A49496" w:tentative="1">
      <w:start w:val="1"/>
      <w:numFmt w:val="bullet"/>
      <w:lvlText w:val=""/>
      <w:lvlJc w:val="left"/>
      <w:pPr>
        <w:tabs>
          <w:tab w:val="num" w:pos="5760"/>
        </w:tabs>
        <w:ind w:left="5760" w:hanging="360"/>
      </w:pPr>
      <w:rPr>
        <w:rFonts w:ascii="Symbol" w:hAnsi="Symbol" w:hint="default"/>
      </w:rPr>
    </w:lvl>
    <w:lvl w:ilvl="8" w:tplc="AE98A77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750539"/>
    <w:multiLevelType w:val="multilevel"/>
    <w:tmpl w:val="FBBA90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6890282"/>
    <w:multiLevelType w:val="hybridMultilevel"/>
    <w:tmpl w:val="D18EA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9A0BC9"/>
    <w:multiLevelType w:val="hybridMultilevel"/>
    <w:tmpl w:val="B062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C2276F"/>
    <w:multiLevelType w:val="hybridMultilevel"/>
    <w:tmpl w:val="1458C6B4"/>
    <w:lvl w:ilvl="0" w:tplc="2534AAAA">
      <w:start w:val="1"/>
      <w:numFmt w:val="bullet"/>
      <w:lvlText w:val=""/>
      <w:lvlJc w:val="left"/>
      <w:pPr>
        <w:ind w:left="1211" w:hanging="426"/>
      </w:pPr>
      <w:rPr>
        <w:rFonts w:ascii="Symbol" w:hAnsi="Symbol" w:hint="default"/>
        <w:b/>
        <w:i w:val="0"/>
        <w:color w:val="254A96"/>
        <w:w w:val="100"/>
        <w:sz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4D6188"/>
    <w:multiLevelType w:val="hybridMultilevel"/>
    <w:tmpl w:val="CC683BCA"/>
    <w:lvl w:ilvl="0" w:tplc="3EC8E6C2">
      <w:start w:val="1"/>
      <w:numFmt w:val="decimal"/>
      <w:lvlText w:val="%1."/>
      <w:lvlJc w:val="left"/>
      <w:pPr>
        <w:ind w:left="720" w:hanging="360"/>
      </w:pPr>
      <w:rPr>
        <w:b/>
        <w:bCs/>
        <w:color w:val="254A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F0C0D"/>
    <w:multiLevelType w:val="hybridMultilevel"/>
    <w:tmpl w:val="FEE8C33A"/>
    <w:lvl w:ilvl="0" w:tplc="02DE45E6">
      <w:start w:val="1"/>
      <w:numFmt w:val="bullet"/>
      <w:lvlText w:val=""/>
      <w:lvlJc w:val="left"/>
      <w:pPr>
        <w:tabs>
          <w:tab w:val="num" w:pos="720"/>
        </w:tabs>
        <w:ind w:left="720" w:hanging="360"/>
      </w:pPr>
      <w:rPr>
        <w:rFonts w:ascii="Symbol" w:hAnsi="Symbol" w:hint="default"/>
      </w:rPr>
    </w:lvl>
    <w:lvl w:ilvl="1" w:tplc="E8DCFAA2" w:tentative="1">
      <w:start w:val="1"/>
      <w:numFmt w:val="bullet"/>
      <w:lvlText w:val=""/>
      <w:lvlJc w:val="left"/>
      <w:pPr>
        <w:tabs>
          <w:tab w:val="num" w:pos="1440"/>
        </w:tabs>
        <w:ind w:left="1440" w:hanging="360"/>
      </w:pPr>
      <w:rPr>
        <w:rFonts w:ascii="Symbol" w:hAnsi="Symbol" w:hint="default"/>
      </w:rPr>
    </w:lvl>
    <w:lvl w:ilvl="2" w:tplc="C9880F78" w:tentative="1">
      <w:start w:val="1"/>
      <w:numFmt w:val="bullet"/>
      <w:lvlText w:val=""/>
      <w:lvlJc w:val="left"/>
      <w:pPr>
        <w:tabs>
          <w:tab w:val="num" w:pos="2160"/>
        </w:tabs>
        <w:ind w:left="2160" w:hanging="360"/>
      </w:pPr>
      <w:rPr>
        <w:rFonts w:ascii="Symbol" w:hAnsi="Symbol" w:hint="default"/>
      </w:rPr>
    </w:lvl>
    <w:lvl w:ilvl="3" w:tplc="B1020E56" w:tentative="1">
      <w:start w:val="1"/>
      <w:numFmt w:val="bullet"/>
      <w:lvlText w:val=""/>
      <w:lvlJc w:val="left"/>
      <w:pPr>
        <w:tabs>
          <w:tab w:val="num" w:pos="2880"/>
        </w:tabs>
        <w:ind w:left="2880" w:hanging="360"/>
      </w:pPr>
      <w:rPr>
        <w:rFonts w:ascii="Symbol" w:hAnsi="Symbol" w:hint="default"/>
      </w:rPr>
    </w:lvl>
    <w:lvl w:ilvl="4" w:tplc="3BDA94CC" w:tentative="1">
      <w:start w:val="1"/>
      <w:numFmt w:val="bullet"/>
      <w:lvlText w:val=""/>
      <w:lvlJc w:val="left"/>
      <w:pPr>
        <w:tabs>
          <w:tab w:val="num" w:pos="3600"/>
        </w:tabs>
        <w:ind w:left="3600" w:hanging="360"/>
      </w:pPr>
      <w:rPr>
        <w:rFonts w:ascii="Symbol" w:hAnsi="Symbol" w:hint="default"/>
      </w:rPr>
    </w:lvl>
    <w:lvl w:ilvl="5" w:tplc="BC6AB170" w:tentative="1">
      <w:start w:val="1"/>
      <w:numFmt w:val="bullet"/>
      <w:lvlText w:val=""/>
      <w:lvlJc w:val="left"/>
      <w:pPr>
        <w:tabs>
          <w:tab w:val="num" w:pos="4320"/>
        </w:tabs>
        <w:ind w:left="4320" w:hanging="360"/>
      </w:pPr>
      <w:rPr>
        <w:rFonts w:ascii="Symbol" w:hAnsi="Symbol" w:hint="default"/>
      </w:rPr>
    </w:lvl>
    <w:lvl w:ilvl="6" w:tplc="A19679E8" w:tentative="1">
      <w:start w:val="1"/>
      <w:numFmt w:val="bullet"/>
      <w:lvlText w:val=""/>
      <w:lvlJc w:val="left"/>
      <w:pPr>
        <w:tabs>
          <w:tab w:val="num" w:pos="5040"/>
        </w:tabs>
        <w:ind w:left="5040" w:hanging="360"/>
      </w:pPr>
      <w:rPr>
        <w:rFonts w:ascii="Symbol" w:hAnsi="Symbol" w:hint="default"/>
      </w:rPr>
    </w:lvl>
    <w:lvl w:ilvl="7" w:tplc="5A0E5C8C" w:tentative="1">
      <w:start w:val="1"/>
      <w:numFmt w:val="bullet"/>
      <w:lvlText w:val=""/>
      <w:lvlJc w:val="left"/>
      <w:pPr>
        <w:tabs>
          <w:tab w:val="num" w:pos="5760"/>
        </w:tabs>
        <w:ind w:left="5760" w:hanging="360"/>
      </w:pPr>
      <w:rPr>
        <w:rFonts w:ascii="Symbol" w:hAnsi="Symbol" w:hint="default"/>
      </w:rPr>
    </w:lvl>
    <w:lvl w:ilvl="8" w:tplc="E54406D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4C6377"/>
    <w:multiLevelType w:val="multilevel"/>
    <w:tmpl w:val="1F8A3316"/>
    <w:lvl w:ilvl="0">
      <w:start w:val="1"/>
      <w:numFmt w:val="decimal"/>
      <w:lvlText w:val="%1."/>
      <w:lvlJc w:val="left"/>
      <w:pPr>
        <w:tabs>
          <w:tab w:val="num" w:pos="5039"/>
        </w:tabs>
        <w:ind w:left="5039" w:hanging="360"/>
      </w:pPr>
    </w:lvl>
    <w:lvl w:ilvl="1">
      <w:start w:val="1"/>
      <w:numFmt w:val="lowerLetter"/>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abstractNum w:abstractNumId="31" w15:restartNumberingAfterBreak="0">
    <w:nsid w:val="76223609"/>
    <w:multiLevelType w:val="hybridMultilevel"/>
    <w:tmpl w:val="821252C4"/>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26769"/>
    <w:multiLevelType w:val="hybridMultilevel"/>
    <w:tmpl w:val="DF08F8CA"/>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11D92"/>
    <w:multiLevelType w:val="hybridMultilevel"/>
    <w:tmpl w:val="DE32DB32"/>
    <w:lvl w:ilvl="0" w:tplc="2534AAAA">
      <w:start w:val="1"/>
      <w:numFmt w:val="bullet"/>
      <w:lvlText w:val=""/>
      <w:lvlJc w:val="left"/>
      <w:pPr>
        <w:ind w:left="851" w:hanging="426"/>
      </w:pPr>
      <w:rPr>
        <w:rFonts w:ascii="Symbol" w:hAnsi="Symbol" w:hint="default"/>
        <w:b/>
        <w:i w:val="0"/>
        <w:color w:val="254A96"/>
        <w:w w:val="100"/>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5428F7"/>
    <w:multiLevelType w:val="hybridMultilevel"/>
    <w:tmpl w:val="709EB8BE"/>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911A1"/>
    <w:multiLevelType w:val="hybridMultilevel"/>
    <w:tmpl w:val="E95E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013994">
    <w:abstractNumId w:val="30"/>
  </w:num>
  <w:num w:numId="2" w16cid:durableId="1295867050">
    <w:abstractNumId w:val="19"/>
  </w:num>
  <w:num w:numId="3" w16cid:durableId="1990403992">
    <w:abstractNumId w:val="33"/>
  </w:num>
  <w:num w:numId="4" w16cid:durableId="1960867860">
    <w:abstractNumId w:val="7"/>
  </w:num>
  <w:num w:numId="5" w16cid:durableId="1398043721">
    <w:abstractNumId w:val="28"/>
  </w:num>
  <w:num w:numId="6" w16cid:durableId="984507980">
    <w:abstractNumId w:val="25"/>
  </w:num>
  <w:num w:numId="7" w16cid:durableId="999968681">
    <w:abstractNumId w:val="26"/>
  </w:num>
  <w:num w:numId="8" w16cid:durableId="1819348135">
    <w:abstractNumId w:val="27"/>
  </w:num>
  <w:num w:numId="9" w16cid:durableId="1791050175">
    <w:abstractNumId w:val="2"/>
  </w:num>
  <w:num w:numId="10" w16cid:durableId="107049135">
    <w:abstractNumId w:val="14"/>
  </w:num>
  <w:num w:numId="11" w16cid:durableId="1904752645">
    <w:abstractNumId w:val="21"/>
  </w:num>
  <w:num w:numId="12" w16cid:durableId="1635256164">
    <w:abstractNumId w:val="18"/>
  </w:num>
  <w:num w:numId="13" w16cid:durableId="426770942">
    <w:abstractNumId w:val="17"/>
  </w:num>
  <w:num w:numId="14" w16cid:durableId="1835759341">
    <w:abstractNumId w:val="34"/>
  </w:num>
  <w:num w:numId="15" w16cid:durableId="87310724">
    <w:abstractNumId w:val="35"/>
  </w:num>
  <w:num w:numId="16" w16cid:durableId="2069959512">
    <w:abstractNumId w:val="32"/>
  </w:num>
  <w:num w:numId="17" w16cid:durableId="1410424432">
    <w:abstractNumId w:val="12"/>
  </w:num>
  <w:num w:numId="18" w16cid:durableId="1913538865">
    <w:abstractNumId w:val="3"/>
  </w:num>
  <w:num w:numId="19" w16cid:durableId="17632248">
    <w:abstractNumId w:val="6"/>
  </w:num>
  <w:num w:numId="20" w16cid:durableId="1813059257">
    <w:abstractNumId w:val="16"/>
  </w:num>
  <w:num w:numId="21" w16cid:durableId="135150399">
    <w:abstractNumId w:val="22"/>
  </w:num>
  <w:num w:numId="22" w16cid:durableId="967931539">
    <w:abstractNumId w:val="31"/>
  </w:num>
  <w:num w:numId="23" w16cid:durableId="915288517">
    <w:abstractNumId w:val="11"/>
  </w:num>
  <w:num w:numId="24" w16cid:durableId="545066841">
    <w:abstractNumId w:val="20"/>
  </w:num>
  <w:num w:numId="25" w16cid:durableId="1989044301">
    <w:abstractNumId w:val="10"/>
  </w:num>
  <w:num w:numId="26" w16cid:durableId="1100758109">
    <w:abstractNumId w:val="24"/>
  </w:num>
  <w:num w:numId="27" w16cid:durableId="403526813">
    <w:abstractNumId w:val="4"/>
  </w:num>
  <w:num w:numId="28" w16cid:durableId="1728798335">
    <w:abstractNumId w:val="0"/>
  </w:num>
  <w:num w:numId="29" w16cid:durableId="755710413">
    <w:abstractNumId w:val="23"/>
  </w:num>
  <w:num w:numId="30" w16cid:durableId="1676305520">
    <w:abstractNumId w:val="29"/>
  </w:num>
  <w:num w:numId="31" w16cid:durableId="1043478923">
    <w:abstractNumId w:val="8"/>
  </w:num>
  <w:num w:numId="32" w16cid:durableId="136188612">
    <w:abstractNumId w:val="13"/>
  </w:num>
  <w:num w:numId="33" w16cid:durableId="707338979">
    <w:abstractNumId w:val="5"/>
  </w:num>
  <w:num w:numId="34" w16cid:durableId="2019577111">
    <w:abstractNumId w:val="15"/>
  </w:num>
  <w:num w:numId="35" w16cid:durableId="1516454292">
    <w:abstractNumId w:val="1"/>
  </w:num>
  <w:num w:numId="36" w16cid:durableId="230970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3"/>
    <w:rsid w:val="00020C96"/>
    <w:rsid w:val="00064BC2"/>
    <w:rsid w:val="00086669"/>
    <w:rsid w:val="000C7B97"/>
    <w:rsid w:val="000F29EB"/>
    <w:rsid w:val="000F472E"/>
    <w:rsid w:val="000F676B"/>
    <w:rsid w:val="00102ECE"/>
    <w:rsid w:val="001149A8"/>
    <w:rsid w:val="001158D1"/>
    <w:rsid w:val="00140E14"/>
    <w:rsid w:val="0015479F"/>
    <w:rsid w:val="00161F5F"/>
    <w:rsid w:val="00166318"/>
    <w:rsid w:val="0023028A"/>
    <w:rsid w:val="00253B73"/>
    <w:rsid w:val="002707B0"/>
    <w:rsid w:val="002878FA"/>
    <w:rsid w:val="002B73F0"/>
    <w:rsid w:val="002C5351"/>
    <w:rsid w:val="002E5315"/>
    <w:rsid w:val="002E6109"/>
    <w:rsid w:val="00344DCD"/>
    <w:rsid w:val="003610FF"/>
    <w:rsid w:val="00366CF5"/>
    <w:rsid w:val="003732AC"/>
    <w:rsid w:val="00373AEF"/>
    <w:rsid w:val="003B720E"/>
    <w:rsid w:val="00406C56"/>
    <w:rsid w:val="00427157"/>
    <w:rsid w:val="0043641E"/>
    <w:rsid w:val="004467B0"/>
    <w:rsid w:val="00460210"/>
    <w:rsid w:val="00485247"/>
    <w:rsid w:val="004B23F5"/>
    <w:rsid w:val="004B2C49"/>
    <w:rsid w:val="004D76FA"/>
    <w:rsid w:val="004E4545"/>
    <w:rsid w:val="00516F49"/>
    <w:rsid w:val="005B7D81"/>
    <w:rsid w:val="005E255C"/>
    <w:rsid w:val="00623282"/>
    <w:rsid w:val="0062793E"/>
    <w:rsid w:val="00643851"/>
    <w:rsid w:val="00663036"/>
    <w:rsid w:val="006C5639"/>
    <w:rsid w:val="006D1F8D"/>
    <w:rsid w:val="006E4ECC"/>
    <w:rsid w:val="00716BA7"/>
    <w:rsid w:val="00731D40"/>
    <w:rsid w:val="00733074"/>
    <w:rsid w:val="007476A6"/>
    <w:rsid w:val="007778D4"/>
    <w:rsid w:val="00786077"/>
    <w:rsid w:val="007B4B17"/>
    <w:rsid w:val="007B6637"/>
    <w:rsid w:val="007D318E"/>
    <w:rsid w:val="007D7B32"/>
    <w:rsid w:val="007F33D7"/>
    <w:rsid w:val="008204DC"/>
    <w:rsid w:val="00863AE6"/>
    <w:rsid w:val="008977BE"/>
    <w:rsid w:val="008A43C1"/>
    <w:rsid w:val="008E0FB3"/>
    <w:rsid w:val="00913159"/>
    <w:rsid w:val="009429ED"/>
    <w:rsid w:val="0095076B"/>
    <w:rsid w:val="009538AA"/>
    <w:rsid w:val="00970F43"/>
    <w:rsid w:val="009969E6"/>
    <w:rsid w:val="009E3F0C"/>
    <w:rsid w:val="009F7245"/>
    <w:rsid w:val="00A0062B"/>
    <w:rsid w:val="00A04EC2"/>
    <w:rsid w:val="00A17068"/>
    <w:rsid w:val="00A314EE"/>
    <w:rsid w:val="00A3589C"/>
    <w:rsid w:val="00A719B0"/>
    <w:rsid w:val="00AB1756"/>
    <w:rsid w:val="00AB3A7C"/>
    <w:rsid w:val="00AE4C18"/>
    <w:rsid w:val="00AF0F94"/>
    <w:rsid w:val="00B075F2"/>
    <w:rsid w:val="00B51CD2"/>
    <w:rsid w:val="00B6274B"/>
    <w:rsid w:val="00B64B7C"/>
    <w:rsid w:val="00B74B05"/>
    <w:rsid w:val="00B85E4F"/>
    <w:rsid w:val="00B90420"/>
    <w:rsid w:val="00BC2E64"/>
    <w:rsid w:val="00BC58E4"/>
    <w:rsid w:val="00BE15AE"/>
    <w:rsid w:val="00BF45E0"/>
    <w:rsid w:val="00C03DAC"/>
    <w:rsid w:val="00C97E23"/>
    <w:rsid w:val="00D21E0E"/>
    <w:rsid w:val="00D2276D"/>
    <w:rsid w:val="00D35E02"/>
    <w:rsid w:val="00D47BCE"/>
    <w:rsid w:val="00D52ADB"/>
    <w:rsid w:val="00D642F4"/>
    <w:rsid w:val="00D67808"/>
    <w:rsid w:val="00D70B9D"/>
    <w:rsid w:val="00D71BC3"/>
    <w:rsid w:val="00D72698"/>
    <w:rsid w:val="00DA007A"/>
    <w:rsid w:val="00E12F9D"/>
    <w:rsid w:val="00E1681E"/>
    <w:rsid w:val="00E63537"/>
    <w:rsid w:val="00E7190E"/>
    <w:rsid w:val="00E726EC"/>
    <w:rsid w:val="00EB3DB9"/>
    <w:rsid w:val="00EC1879"/>
    <w:rsid w:val="00ED2459"/>
    <w:rsid w:val="00F07A9F"/>
    <w:rsid w:val="00F43909"/>
    <w:rsid w:val="00F52B9E"/>
    <w:rsid w:val="00F62DEF"/>
    <w:rsid w:val="00F87C48"/>
    <w:rsid w:val="00F92723"/>
    <w:rsid w:val="00FA7163"/>
    <w:rsid w:val="00FE367D"/>
    <w:rsid w:val="00FF270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F237"/>
  <w15:docId w15:val="{9AE3F580-F5AF-4EEA-9BBB-11D864A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DEF"/>
    <w:pPr>
      <w:keepNext/>
      <w:keepLines/>
      <w:spacing w:before="240"/>
      <w:outlineLvl w:val="0"/>
    </w:pPr>
    <w:rPr>
      <w:rFonts w:asciiTheme="majorHAnsi" w:eastAsiaTheme="majorEastAsia" w:hAnsiTheme="majorHAnsi" w:cstheme="majorBidi"/>
      <w:color w:val="2F5496" w:themeColor="accent1" w:themeShade="BF"/>
      <w:sz w:val="32"/>
      <w:szCs w:val="32"/>
      <w:lang w:val="en-US" w:eastAsia="tr-TR"/>
    </w:rPr>
  </w:style>
  <w:style w:type="paragraph" w:styleId="Heading2">
    <w:name w:val="heading 2"/>
    <w:basedOn w:val="Normal"/>
    <w:next w:val="Normal"/>
    <w:link w:val="Heading2Char"/>
    <w:uiPriority w:val="9"/>
    <w:unhideWhenUsed/>
    <w:qFormat/>
    <w:rsid w:val="00A3589C"/>
    <w:pPr>
      <w:keepNext/>
      <w:keepLines/>
      <w:spacing w:before="40"/>
      <w:outlineLvl w:val="1"/>
    </w:pPr>
    <w:rPr>
      <w:rFonts w:asciiTheme="majorHAnsi" w:eastAsiaTheme="majorEastAsia" w:hAnsiTheme="majorHAnsi" w:cstheme="majorBidi"/>
      <w:color w:val="C45911" w:themeColor="accent2" w:themeShade="BF"/>
      <w:sz w:val="28"/>
      <w:szCs w:val="28"/>
      <w:lang w:val="en-GB" w:eastAsia="zh-CN"/>
    </w:rPr>
  </w:style>
  <w:style w:type="paragraph" w:styleId="Heading3">
    <w:name w:val="heading 3"/>
    <w:basedOn w:val="Normal"/>
    <w:next w:val="Normal"/>
    <w:link w:val="Heading3Char"/>
    <w:uiPriority w:val="9"/>
    <w:semiHidden/>
    <w:unhideWhenUsed/>
    <w:qFormat/>
    <w:rsid w:val="00D47B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9D"/>
    <w:pPr>
      <w:tabs>
        <w:tab w:val="center" w:pos="4513"/>
        <w:tab w:val="right" w:pos="9026"/>
      </w:tabs>
    </w:pPr>
  </w:style>
  <w:style w:type="character" w:customStyle="1" w:styleId="HeaderChar">
    <w:name w:val="Header Char"/>
    <w:basedOn w:val="DefaultParagraphFont"/>
    <w:link w:val="Header"/>
    <w:uiPriority w:val="99"/>
    <w:rsid w:val="00E12F9D"/>
  </w:style>
  <w:style w:type="paragraph" w:styleId="Footer">
    <w:name w:val="footer"/>
    <w:basedOn w:val="Normal"/>
    <w:link w:val="FooterChar"/>
    <w:uiPriority w:val="99"/>
    <w:unhideWhenUsed/>
    <w:rsid w:val="00E12F9D"/>
    <w:pPr>
      <w:tabs>
        <w:tab w:val="center" w:pos="4513"/>
        <w:tab w:val="right" w:pos="9026"/>
      </w:tabs>
    </w:pPr>
  </w:style>
  <w:style w:type="character" w:customStyle="1" w:styleId="FooterChar">
    <w:name w:val="Footer Char"/>
    <w:basedOn w:val="DefaultParagraphFont"/>
    <w:link w:val="Footer"/>
    <w:uiPriority w:val="99"/>
    <w:rsid w:val="00E12F9D"/>
  </w:style>
  <w:style w:type="table" w:styleId="TableGrid">
    <w:name w:val="Table Grid"/>
    <w:basedOn w:val="TableNormal"/>
    <w:uiPriority w:val="59"/>
    <w:rsid w:val="007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851"/>
    <w:rPr>
      <w:color w:val="0563C1" w:themeColor="hyperlink"/>
      <w:u w:val="single"/>
    </w:rPr>
  </w:style>
  <w:style w:type="character" w:styleId="UnresolvedMention">
    <w:name w:val="Unresolved Mention"/>
    <w:basedOn w:val="DefaultParagraphFont"/>
    <w:uiPriority w:val="99"/>
    <w:semiHidden/>
    <w:unhideWhenUsed/>
    <w:rsid w:val="00643851"/>
    <w:rPr>
      <w:color w:val="605E5C"/>
      <w:shd w:val="clear" w:color="auto" w:fill="E1DFDD"/>
    </w:rPr>
  </w:style>
  <w:style w:type="character" w:styleId="PageNumber">
    <w:name w:val="page number"/>
    <w:basedOn w:val="DefaultParagraphFont"/>
    <w:uiPriority w:val="99"/>
    <w:semiHidden/>
    <w:unhideWhenUsed/>
    <w:rsid w:val="00731D40"/>
  </w:style>
  <w:style w:type="paragraph" w:styleId="NoSpacing">
    <w:name w:val="No Spacing"/>
    <w:uiPriority w:val="1"/>
    <w:qFormat/>
    <w:rsid w:val="00D21E0E"/>
    <w:rPr>
      <w:rFonts w:ascii="Calibri" w:eastAsia="Calibri" w:hAnsi="Calibri" w:cs="Times New Roman"/>
      <w:sz w:val="22"/>
      <w:szCs w:val="22"/>
      <w:lang w:val="en-US"/>
    </w:rPr>
  </w:style>
  <w:style w:type="paragraph" w:styleId="ListParagraph">
    <w:name w:val="List Paragraph"/>
    <w:basedOn w:val="Normal"/>
    <w:uiPriority w:val="34"/>
    <w:qFormat/>
    <w:rsid w:val="002B73F0"/>
    <w:pPr>
      <w:ind w:left="720"/>
      <w:contextualSpacing/>
    </w:pPr>
  </w:style>
  <w:style w:type="character" w:styleId="FollowedHyperlink">
    <w:name w:val="FollowedHyperlink"/>
    <w:basedOn w:val="DefaultParagraphFont"/>
    <w:uiPriority w:val="99"/>
    <w:semiHidden/>
    <w:unhideWhenUsed/>
    <w:rsid w:val="002B73F0"/>
    <w:rPr>
      <w:color w:val="954F72" w:themeColor="followedHyperlink"/>
      <w:u w:val="single"/>
    </w:rPr>
  </w:style>
  <w:style w:type="table" w:styleId="ColorfulList-Accent1">
    <w:name w:val="Colorful List Accent 1"/>
    <w:basedOn w:val="TableNormal"/>
    <w:uiPriority w:val="72"/>
    <w:semiHidden/>
    <w:unhideWhenUsed/>
    <w:rsid w:val="002B73F0"/>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F62DEF"/>
    <w:rPr>
      <w:rFonts w:asciiTheme="majorHAnsi" w:eastAsiaTheme="majorEastAsia" w:hAnsiTheme="majorHAnsi" w:cstheme="majorBidi"/>
      <w:color w:val="2F5496" w:themeColor="accent1" w:themeShade="BF"/>
      <w:sz w:val="32"/>
      <w:szCs w:val="32"/>
      <w:lang w:val="en-US" w:eastAsia="tr-TR"/>
    </w:rPr>
  </w:style>
  <w:style w:type="paragraph" w:customStyle="1" w:styleId="Default">
    <w:name w:val="Default"/>
    <w:rsid w:val="00F62DEF"/>
    <w:pPr>
      <w:autoSpaceDE w:val="0"/>
      <w:autoSpaceDN w:val="0"/>
      <w:adjustRightInd w:val="0"/>
    </w:pPr>
    <w:rPr>
      <w:rFonts w:ascii="Arial" w:eastAsia="Times New Roman" w:hAnsi="Arial" w:cs="Arial"/>
      <w:color w:val="000000"/>
      <w:lang w:val="fr-CH" w:eastAsia="fr-CH"/>
    </w:rPr>
  </w:style>
  <w:style w:type="character" w:customStyle="1" w:styleId="Heading2Char">
    <w:name w:val="Heading 2 Char"/>
    <w:basedOn w:val="DefaultParagraphFont"/>
    <w:link w:val="Heading2"/>
    <w:uiPriority w:val="9"/>
    <w:rsid w:val="00A3589C"/>
    <w:rPr>
      <w:rFonts w:asciiTheme="majorHAnsi" w:eastAsiaTheme="majorEastAsia" w:hAnsiTheme="majorHAnsi" w:cstheme="majorBidi"/>
      <w:color w:val="C45911" w:themeColor="accent2" w:themeShade="BF"/>
      <w:sz w:val="28"/>
      <w:szCs w:val="28"/>
      <w:lang w:val="en-GB" w:eastAsia="zh-CN"/>
    </w:rPr>
  </w:style>
  <w:style w:type="numbering" w:customStyle="1" w:styleId="Style1">
    <w:name w:val="Style1"/>
    <w:uiPriority w:val="99"/>
    <w:rsid w:val="00A3589C"/>
    <w:pPr>
      <w:numPr>
        <w:numId w:val="19"/>
      </w:numPr>
    </w:pPr>
  </w:style>
  <w:style w:type="character" w:customStyle="1" w:styleId="Heading3Char">
    <w:name w:val="Heading 3 Char"/>
    <w:basedOn w:val="DefaultParagraphFont"/>
    <w:link w:val="Heading3"/>
    <w:uiPriority w:val="9"/>
    <w:semiHidden/>
    <w:rsid w:val="00D47BCE"/>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707B0"/>
    <w:rPr>
      <w:sz w:val="20"/>
      <w:szCs w:val="20"/>
    </w:rPr>
  </w:style>
  <w:style w:type="character" w:customStyle="1" w:styleId="FootnoteTextChar">
    <w:name w:val="Footnote Text Char"/>
    <w:basedOn w:val="DefaultParagraphFont"/>
    <w:link w:val="FootnoteText"/>
    <w:uiPriority w:val="99"/>
    <w:semiHidden/>
    <w:rsid w:val="002707B0"/>
    <w:rPr>
      <w:sz w:val="20"/>
      <w:szCs w:val="20"/>
    </w:rPr>
  </w:style>
  <w:style w:type="character" w:styleId="FootnoteReference">
    <w:name w:val="footnote reference"/>
    <w:basedOn w:val="DefaultParagraphFont"/>
    <w:uiPriority w:val="99"/>
    <w:semiHidden/>
    <w:unhideWhenUsed/>
    <w:rsid w:val="002707B0"/>
    <w:rPr>
      <w:vertAlign w:val="superscript"/>
    </w:rPr>
  </w:style>
  <w:style w:type="paragraph" w:styleId="NormalWeb">
    <w:name w:val="Normal (Web)"/>
    <w:basedOn w:val="Normal"/>
    <w:uiPriority w:val="99"/>
    <w:unhideWhenUsed/>
    <w:rsid w:val="002707B0"/>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ws.industriall-europe.eu/Article/1515" TargetMode="External"/><Relationship Id="rId18" Type="http://schemas.openxmlformats.org/officeDocument/2006/relationships/hyperlink" Target="https://news.industriall-europe.eu/Article/122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news.industriall-europe.eu/Article/1366" TargetMode="External"/><Relationship Id="rId17" Type="http://schemas.openxmlformats.org/officeDocument/2006/relationships/hyperlink" Target="https://news.industriall-europe.eu/Article/13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ws.industriall-europe.eu/Article/139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industriall-europe.eu/Article/13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ws.industriall-europe.eu/Article/1226" TargetMode="External"/><Relationship Id="rId23" Type="http://schemas.openxmlformats.org/officeDocument/2006/relationships/footer" Target="footer2.xml"/><Relationship Id="rId10" Type="http://schemas.openxmlformats.org/officeDocument/2006/relationships/hyperlink" Target="https://news.industriall-europe.eu/Article/1332" TargetMode="External"/><Relationship Id="rId19" Type="http://schemas.openxmlformats.org/officeDocument/2006/relationships/hyperlink" Target="https://news.industriall-europe.eu/Article/1366" TargetMode="External"/><Relationship Id="rId4" Type="http://schemas.openxmlformats.org/officeDocument/2006/relationships/webSettings" Target="webSettings.xml"/><Relationship Id="rId9" Type="http://schemas.openxmlformats.org/officeDocument/2006/relationships/hyperlink" Target="https://news.industriall-europe.eu/Article/1226" TargetMode="External"/><Relationship Id="rId14" Type="http://schemas.openxmlformats.org/officeDocument/2006/relationships/hyperlink" Target="https://news.industriall-europe.eu/p/position-papers"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agenda.industriall-europe.eu%2Fuploads%2Fdocuments%2F2025%2F12%2F639002693211707930_Adopted%2520-%2520Clean%2520Industrial%2520Deal%2520%25E2%2580%2593%2520nice%2520words%2520but%2520workers%2520expect%2520a%2520game%2520changer%2520now%2520-%2520EN.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Valérie Fesland</dc:creator>
  <keywords>, docId:A791DBBB010DCF31E4F81A12BE023336</keywords>
  <dc:description/>
  <lastModifiedBy>Marie-Odile Martiat</lastModifiedBy>
  <revision>11</revision>
  <lastPrinted>2026-07-01T10:12:00.0000000Z</lastPrinted>
  <dcterms:created xsi:type="dcterms:W3CDTF">2026-06-08T14:08:00.0000000Z</dcterms:created>
  <dcterms:modified xsi:type="dcterms:W3CDTF">2026-07-01T10:24:00.0000000Z</dcterms:modified>
</coreProperties>
</file>