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CD" w:rsidRPr="00AC6D97" w:rsidRDefault="00C00FCD" w:rsidP="00C00F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:lang w:val="pl-PL"/>
        </w:rPr>
      </w:pPr>
      <w:r w:rsidRPr="00AC6D97">
        <w:rPr>
          <w:rFonts w:ascii="Times New Roman" w:hAnsi="Times New Roman" w:cs="Times New Roman"/>
          <w:b/>
          <w:bCs/>
          <w:color w:val="0070C0"/>
          <w:sz w:val="32"/>
          <w:szCs w:val="32"/>
          <w:lang w:val="pl-PL"/>
        </w:rPr>
        <w:t xml:space="preserve">Umowa o handlu i współpracy UE-Wielka Brytania </w:t>
      </w:r>
    </w:p>
    <w:p w:rsidR="00C00FCD" w:rsidRPr="00AC6D97" w:rsidRDefault="00C00FCD" w:rsidP="00C00FCD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32"/>
          <w:szCs w:val="32"/>
          <w:lang w:val="pl-PL"/>
        </w:rPr>
      </w:pPr>
      <w:r w:rsidRPr="00AC6D97">
        <w:rPr>
          <w:rFonts w:ascii="Times New Roman" w:hAnsi="Times New Roman" w:cs="Times New Roman"/>
          <w:bCs/>
          <w:color w:val="0070C0"/>
          <w:sz w:val="32"/>
          <w:szCs w:val="32"/>
          <w:lang w:val="pl-PL"/>
        </w:rPr>
        <w:t xml:space="preserve">Wstępna reakcja </w:t>
      </w:r>
      <w:proofErr w:type="spellStart"/>
      <w:r w:rsidRPr="00AC6D97">
        <w:rPr>
          <w:rFonts w:ascii="Times New Roman" w:hAnsi="Times New Roman" w:cs="Times New Roman"/>
          <w:bCs/>
          <w:color w:val="0070C0"/>
          <w:sz w:val="32"/>
          <w:szCs w:val="32"/>
          <w:lang w:val="pl-PL"/>
        </w:rPr>
        <w:t>IndustriAll</w:t>
      </w:r>
      <w:proofErr w:type="spellEnd"/>
      <w:r w:rsidRPr="00AC6D97">
        <w:rPr>
          <w:rFonts w:ascii="Times New Roman" w:hAnsi="Times New Roman" w:cs="Times New Roman"/>
          <w:bCs/>
          <w:color w:val="0070C0"/>
          <w:sz w:val="32"/>
          <w:szCs w:val="32"/>
          <w:lang w:val="pl-PL"/>
        </w:rPr>
        <w:t xml:space="preserve"> Europe   </w:t>
      </w:r>
    </w:p>
    <w:p w:rsidR="00B178EB" w:rsidRPr="00AC6D97" w:rsidRDefault="00B178EB" w:rsidP="00B178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pl-PL"/>
        </w:rPr>
      </w:pPr>
    </w:p>
    <w:p w:rsidR="00C00FCD" w:rsidRPr="00AC6D97" w:rsidRDefault="00C00FCD" w:rsidP="00C00FCD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pl-PL"/>
        </w:rPr>
      </w:pPr>
    </w:p>
    <w:p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Od dnia 1 stycznia 2021 r. umowa o handlu i współpracy między UE a Zjednoczonym Królestwem jest tymczasowo stosowana (oczekuje jeszcze na ratyfikację przez Parlament Europejski). W niniejszym streszczeniu przedstawiono przegląd tej umowy i przeanalizowano, w jaki sposób może ona wpłynąć na przemysł europejski i jego pracowników.  </w:t>
      </w:r>
    </w:p>
    <w:p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C00FCD" w:rsidRPr="00B465ED" w:rsidRDefault="00C22C2A" w:rsidP="003B4A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>Przegląd</w:t>
      </w:r>
      <w:r w:rsidR="00C00FCD" w:rsidRPr="00B465E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pl-PL"/>
        </w:rPr>
        <w:t xml:space="preserve">: </w:t>
      </w:r>
    </w:p>
    <w:p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C00FCD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dniu 24 grudnia UE-27 i Zjednoczone Królestwo zawarły umowę o handlu i współpracy między UE a Zjednoczonym Królestwem, która po szybkiej ratyfikacji przez Radę Europejską i rząd Zjednoczonego Królestwa weszła </w:t>
      </w:r>
      <w:r w:rsidR="00C22C2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tymczasowo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życie w dniu </w:t>
      </w:r>
      <w:r w:rsid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1 stycznia 2021</w:t>
      </w:r>
      <w:r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r.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Pełne stosowanie jest uzależnione od ratyfikacji przez Parlament Europejski, która jest przewid</w:t>
      </w:r>
      <w:r w:rsidR="00C22C2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ziana najpóźniej </w:t>
      </w:r>
      <w:r w:rsidR="00C22C2A"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na marzec 2021</w:t>
      </w:r>
      <w:r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r. W dniu 24 grudnia UE-27 i Zjednoczone Królestwo zawarły umowę o handlu i współpracy między UE a Zjednoczonym Królestwem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 Umowa składa się z trzech głównych filarów:</w:t>
      </w:r>
    </w:p>
    <w:p w:rsidR="00C22C2A" w:rsidRPr="00AC6D97" w:rsidRDefault="00C22C2A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C00FCD" w:rsidRPr="00C22C2A" w:rsidRDefault="00C22C2A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1. </w:t>
      </w:r>
      <w:r w:rsidR="00C00FCD"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Umowa o wolnym handlu: nowe partnerstwo gospodarcze i społeczne ze Zjednoczonym Królestwem;</w:t>
      </w:r>
    </w:p>
    <w:p w:rsidR="00C00FCD" w:rsidRPr="00C22C2A" w:rsidRDefault="00C22C2A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2. </w:t>
      </w:r>
      <w:r w:rsidR="00C00FCD"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Nowe ramy egzekwowania prawa i współpracy sądowej w sprawach karnych i cywilnych;</w:t>
      </w:r>
    </w:p>
    <w:p w:rsidR="00C00FCD" w:rsidRPr="00C22C2A" w:rsidRDefault="00C22C2A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3. </w:t>
      </w:r>
      <w:r w:rsidR="00BB39DE"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Porozumienie horyzontalne</w:t>
      </w:r>
      <w:r w:rsidR="00743698"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 sprawie zarządzania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Ogólnie rzecz biorąc, umowa ta sprawi, że handel między Wielką Brytanią a UE stanie się bardziej skomplikowany</w:t>
      </w:r>
      <w:r w:rsidR="00D910FE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niż </w:t>
      </w:r>
      <w:r w:rsidR="00BB39DE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miało to miejsce w czasie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gdy Wielka Brytania była członkiem bloku, </w:t>
      </w:r>
      <w:r w:rsidR="00BB39DE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jednak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 pewnym stopniu przyczyni się do złagodzenia </w:t>
      </w:r>
      <w:r w:rsidR="00D910FE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kryzysu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co byłoby nieuniknione, gdyby w ogóle nie zawarto umowy handlowej. Jednakże, jak pokazuje szczegółowa analiza tekstu prawnego porozumienia, nadal brakuje w nim wielu elementów, takich jak ustalenia d</w:t>
      </w:r>
      <w:r w:rsidR="00D910FE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otyczące usług finansowych, innych aspektów usług oraz uznania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regulacji dotyczących między innymi chemikaliów i towarów konsumpcyjnych. Jest to umowa handlowa </w:t>
      </w:r>
      <w:r w:rsidR="0074369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podstawowa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zobowiązanie do dalszych negocjacji w niezliczonej liczbie obszarów. </w:t>
      </w:r>
      <w:proofErr w:type="spellStart"/>
      <w:r w:rsidRPr="00B465ED">
        <w:rPr>
          <w:rFonts w:ascii="Times New Roman" w:hAnsi="Times New Roman" w:cs="Times New Roman"/>
          <w:b/>
          <w:bCs/>
          <w:sz w:val="24"/>
          <w:szCs w:val="24"/>
          <w:lang w:val="pl-PL"/>
        </w:rPr>
        <w:t>Brexit</w:t>
      </w:r>
      <w:proofErr w:type="spellEnd"/>
      <w:r w:rsidRPr="00B465E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jeszcze się nie zakończył, ale </w:t>
      </w:r>
      <w:r w:rsidR="00B465ED" w:rsidRPr="00B465E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od 1 stycznia 2021r.  </w:t>
      </w:r>
      <w:r w:rsidRPr="00B465ED">
        <w:rPr>
          <w:rFonts w:ascii="Times New Roman" w:hAnsi="Times New Roman" w:cs="Times New Roman"/>
          <w:b/>
          <w:bCs/>
          <w:sz w:val="24"/>
          <w:szCs w:val="24"/>
          <w:lang w:val="pl-PL"/>
        </w:rPr>
        <w:t>Wielka Brytania jest poza unią celną UE i jednolitym rynkiem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</w:t>
      </w:r>
    </w:p>
    <w:p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C00FCD" w:rsidRPr="002F1E1D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>Co to oznacza dla europejskich pracowników przemysłowych?</w:t>
      </w:r>
    </w:p>
    <w:p w:rsidR="006209DC" w:rsidRDefault="006209DC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C00FCD" w:rsidRPr="00AC6D97" w:rsidRDefault="00B465E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W lipcu 2020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r. </w:t>
      </w:r>
      <w:proofErr w:type="spellStart"/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IndustriAll</w:t>
      </w:r>
      <w:proofErr w:type="spellEnd"/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Europe wystosowała szereg żądań do rządów Wielkiej Brytanii i UE, aby broniły one interesów i praw europejskich pracowników przemysłowych:</w:t>
      </w:r>
    </w:p>
    <w:p w:rsidR="002F1E1D" w:rsidRDefault="002F1E1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1.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Porozum</w:t>
      </w:r>
      <w:r w:rsidR="00C645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ienie, które stawia </w:t>
      </w:r>
      <w:r w:rsidR="00B465E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na pierwszym miejscu </w:t>
      </w:r>
      <w:r w:rsidR="00C645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pracowników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zarówno </w:t>
      </w:r>
      <w:r w:rsidR="00B465ED">
        <w:rPr>
          <w:rFonts w:ascii="Times New Roman" w:hAnsi="Times New Roman" w:cs="Times New Roman"/>
          <w:bCs/>
          <w:sz w:val="24"/>
          <w:szCs w:val="24"/>
          <w:lang w:val="pl-PL"/>
        </w:rPr>
        <w:t>w UE, jak i w Wielkiej Brytanii.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2. </w:t>
      </w:r>
      <w:r w:rsidR="00B465E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Handel bezcłowy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poza jednolitym rynkiem UE i unią celną</w:t>
      </w:r>
      <w:r w:rsidR="00B465ED">
        <w:rPr>
          <w:rFonts w:ascii="Times New Roman" w:hAnsi="Times New Roman" w:cs="Times New Roman"/>
          <w:bCs/>
          <w:sz w:val="24"/>
          <w:szCs w:val="24"/>
          <w:lang w:val="pl-PL"/>
        </w:rPr>
        <w:t>, możliwie jak najbardziej pozbawiony tarć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3.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Pełna zgodność wymogów (dotyczących bezpieczeństwa, ochrony środowiska i innych) nakładanych na produkty i procesy w celu zapewnienia uczciwej konkurencji, a także skoordynowane podejście do systemów cen emisji dwutlenku węgla stosowanych w przemyśle. </w:t>
      </w:r>
    </w:p>
    <w:p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4.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Ochrona przepisów dotyczących zdrowia i bezpieczeństwa, przepisów socjalnych oraz prawa do informacji i konsultacji dla wszystkich pracowników europejskich w UE i w Zjednoczonym Królestwie.</w:t>
      </w:r>
    </w:p>
    <w:p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5.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Obie Strony zapewnią ścisłą współpracę w odpowiednich dziedzinach będących przedmiotem wspólnego zainteresowania (np. badania naukowe, energia i wielokanałowe łańcuchy dostaw przemysłowych). </w:t>
      </w:r>
    </w:p>
    <w:p w:rsidR="00C00FCD" w:rsidRPr="00AC6D97" w:rsidRDefault="00401635" w:rsidP="002F1E1D">
      <w:pPr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6.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Wzmocnienie prawdopodobieństwa wyrównan</w:t>
      </w:r>
      <w:r w:rsidR="00C645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ia szans poprzez zapewnienie warunków:</w:t>
      </w:r>
    </w:p>
    <w:p w:rsidR="00401635" w:rsidRDefault="00401635" w:rsidP="002F1E1D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3B4A05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Rozszerzenia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klauzuli o braku regresu na cały dorobek prawny UE w dziedzinie społecznej.</w:t>
      </w:r>
    </w:p>
    <w:p w:rsidR="00C00FCD" w:rsidRPr="00AC6D97" w:rsidRDefault="00401635" w:rsidP="002F1E1D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Zjednoczone Królestwo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dotrzymuje kroku UE we wszelkich przyszłych działaniach na rzecz  poprawy standardów zatrudnienia i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standardów socjalnych</w:t>
      </w:r>
    </w:p>
    <w:p w:rsidR="00C00FCD" w:rsidRPr="00AC6D97" w:rsidRDefault="00401635" w:rsidP="002F1E1D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TSUE pozostaje jedynym arbitrem prawa związkowego, a do jego orzeczeń należy się odwoływać w sprawach dotyczących standardów socjalnych i pracowniczych.</w:t>
      </w:r>
    </w:p>
    <w:p w:rsidR="00C00FCD" w:rsidRPr="00AC6D97" w:rsidRDefault="00401635" w:rsidP="002F1E1D">
      <w:pPr>
        <w:spacing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Stosowana jest zasada miejsca pracy (gwarancja tego samego wynagrodzenia za tę samą pracę w tym samym miejscu).</w:t>
      </w:r>
    </w:p>
    <w:p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7.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Zobowiązanie Zjednoczonego Królestwa i UE do przeciwdziałania wszelkim szkodliwym skutkom dla miejsc pracy i społeczności lokalnych.</w:t>
      </w:r>
    </w:p>
    <w:p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8.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Partnerzy społeczni mają rzeczywistą rolę zarówno w monitorowaniu, jak i egzekwowaniu porozumienia o odstąpieniu od umowy, w tym prawo do składania oficjalnych skarg.</w:t>
      </w:r>
    </w:p>
    <w:p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9.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Pełna przejrzystość procesu negocjacyjnego, w tym zaangażowanie partnerów społecznych od samego początku negocjacji.</w:t>
      </w:r>
    </w:p>
    <w:p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Niniejszy dokument przedstawia wstępną ocenę sposobu, w jaki </w:t>
      </w:r>
      <w:r w:rsidR="009237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Umowa uwzględnia 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obaw</w:t>
      </w:r>
      <w:r w:rsidR="009237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pracowników przemysłowych po obu stronach kanału La Manche i Morza Irlandzkiego, jak również do </w:t>
      </w:r>
      <w:r w:rsidR="009237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poszczególnych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sektorów przemysłu, w oparciu o analizę prawną </w:t>
      </w:r>
      <w:r w:rsidR="009237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Umowy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przeprowadzoną przez ETUC.</w:t>
      </w:r>
    </w:p>
    <w:p w:rsidR="00C00FCD" w:rsidRPr="00AC6D97" w:rsidRDefault="00C00FCD" w:rsidP="00C00FC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AD7DC4" w:rsidRPr="002F1E1D" w:rsidRDefault="00AD7DC4" w:rsidP="00AD7DC4">
      <w:pPr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 xml:space="preserve">Handel towarami </w:t>
      </w:r>
    </w:p>
    <w:p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Porozumienie gwarantuje </w:t>
      </w:r>
      <w:r w:rsidRPr="00060DD9">
        <w:rPr>
          <w:rFonts w:ascii="Times New Roman" w:hAnsi="Times New Roman" w:cs="Times New Roman"/>
          <w:b/>
          <w:bCs/>
          <w:sz w:val="24"/>
          <w:szCs w:val="24"/>
          <w:lang w:val="pl-PL"/>
        </w:rPr>
        <w:t>zerowe stawki celne</w:t>
      </w:r>
      <w:r w:rsidR="00794C3A" w:rsidRPr="00060DD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 zerowe kontyngenty na towary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tak długo</w:t>
      </w:r>
      <w:r w:rsidR="00794C3A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jak Zjednoczon</w:t>
      </w:r>
      <w:r w:rsidR="00060DD9">
        <w:rPr>
          <w:rFonts w:ascii="Times New Roman" w:hAnsi="Times New Roman" w:cs="Times New Roman"/>
          <w:bCs/>
          <w:sz w:val="24"/>
          <w:szCs w:val="24"/>
          <w:lang w:val="pl-PL"/>
        </w:rPr>
        <w:t>e Królestwo będzie dostosowywać się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do standardów UE poprzez przepisy dotyczące równych warunków działania, zapewniając w ten sposób stały przepływ towarów i komponentów, </w:t>
      </w:r>
      <w:r w:rsidR="00060DD9">
        <w:rPr>
          <w:rFonts w:ascii="Times New Roman" w:hAnsi="Times New Roman" w:cs="Times New Roman"/>
          <w:bCs/>
          <w:sz w:val="24"/>
          <w:szCs w:val="24"/>
          <w:lang w:val="pl-PL"/>
        </w:rPr>
        <w:t>niezbędnych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dla sektorów produkcyjnych.</w:t>
      </w:r>
    </w:p>
    <w:p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Motoryzacja, sprzęt transportowy, lotnictwo i kosmonautyka</w:t>
      </w:r>
      <w:r w:rsidR="00C83A4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chemikalia i produkty chemiczne oraz tekstylia były sektorami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najwięk</w:t>
      </w:r>
      <w:r w:rsidR="00794C3A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szego ryzyka związanego z </w:t>
      </w:r>
      <w:proofErr w:type="spellStart"/>
      <w:r w:rsidR="00794C3A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Brexi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tem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 związku z perspektywą wprowadzenia taryf. Pozostają jednak inne przeszkody w postaci </w:t>
      </w:r>
      <w:r w:rsidRPr="00C83A45">
        <w:rPr>
          <w:rFonts w:ascii="Times New Roman" w:hAnsi="Times New Roman" w:cs="Times New Roman"/>
          <w:b/>
          <w:bCs/>
          <w:sz w:val="24"/>
          <w:szCs w:val="24"/>
          <w:lang w:val="pl-PL"/>
        </w:rPr>
        <w:t>barier pozataryfowych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które będą miały wpływ na terminy w łańcuchach dostaw "</w:t>
      </w:r>
      <w:proofErr w:type="spellStart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just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-in-</w:t>
      </w:r>
      <w:proofErr w:type="spellStart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time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" i mogą spowodować wzrost kosztów produkcji. Te techniczne bariery w handlu będą obejmować </w:t>
      </w:r>
      <w:r w:rsidRPr="00C83A45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kontrole regulacyjne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na przykład kontrole sanitarne i fitosanitarne, ocenę zgodności i etykietowanie. </w:t>
      </w:r>
    </w:p>
    <w:p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Dostawcy będą musieli certyfikować </w:t>
      </w:r>
      <w:r w:rsidRPr="00C83A45">
        <w:rPr>
          <w:rFonts w:ascii="Times New Roman" w:hAnsi="Times New Roman" w:cs="Times New Roman"/>
          <w:b/>
          <w:bCs/>
          <w:sz w:val="24"/>
          <w:szCs w:val="24"/>
          <w:lang w:val="pl-PL"/>
        </w:rPr>
        <w:t>reguły pochodzenia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</w:t>
      </w:r>
      <w:r w:rsidR="00CE3EB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co spowoduje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dodatkowe </w:t>
      </w:r>
      <w:r w:rsidR="00CE3EB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znaczne </w:t>
      </w:r>
      <w:r w:rsidR="009B2D4B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napięcia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handlowe. Bariery te nie zostaną całkowicie wyeliminowane przez system ułatwień celnych w ramach umowy: przy zapewnieniu współpracy między organami celnymi i wzajemnego uznawania "systemów zaufanego handlu"; kontrole będą przeprowadzane od dnia 1 stycznia 2021 r. dla towarów wprowadzanych do UE i od czerwca 2021 r. dla towarów wprowadzanych do Zjednoczonego Królestwa. Rzeczywistość ta oznacza, że w dłuższej perspektywie czasowej </w:t>
      </w:r>
      <w:r w:rsidRPr="00CE3EB1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 xml:space="preserve">handel nie będzie pozbawiony </w:t>
      </w:r>
      <w:r w:rsidR="009B2D4B" w:rsidRPr="00CE3EB1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napięć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a w krótkiej</w:t>
      </w:r>
      <w:r w:rsidR="009B2D4B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prawdopodobnie wystąpi wiele kosztów administracyjnych dla przedsiębiorstw, zarówno przewidzianych, jak i nieprzewidzianych. </w:t>
      </w:r>
    </w:p>
    <w:p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Ponadto umowa jest niezwykle ograniczona w odniesieniu do </w:t>
      </w:r>
      <w:r w:rsidRPr="00CE3EB1">
        <w:rPr>
          <w:rFonts w:ascii="Times New Roman" w:hAnsi="Times New Roman" w:cs="Times New Roman"/>
          <w:b/>
          <w:bCs/>
          <w:sz w:val="24"/>
          <w:szCs w:val="24"/>
          <w:lang w:val="pl-PL"/>
        </w:rPr>
        <w:t>usług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- powielając większość postanowień umowy CETA UE-Kanada - będzie to miało efekt domina w odniesieniu do usług biznesowych i usług świadczonych w ramach wolnych zawodów związanych z przemysłem.</w:t>
      </w:r>
    </w:p>
    <w:p w:rsidR="00AD7DC4" w:rsidRPr="00AC6D97" w:rsidRDefault="00AD7DC4" w:rsidP="002F1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Wszystkie produkty wprowadzane do UE będą musiały spełniać unijne normy dotyczące produktów (i </w:t>
      </w:r>
      <w:r w:rsidR="00CE3EB1">
        <w:rPr>
          <w:rFonts w:ascii="Times New Roman" w:hAnsi="Times New Roman" w:cs="Times New Roman"/>
          <w:bCs/>
          <w:sz w:val="24"/>
          <w:szCs w:val="24"/>
          <w:lang w:val="pl-PL"/>
        </w:rPr>
        <w:t>odwrotnie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). W umowie zawarto kilka istotnych punktów dotyczących </w:t>
      </w:r>
      <w:r w:rsidRPr="00CE3EB1">
        <w:rPr>
          <w:rFonts w:ascii="Times New Roman" w:hAnsi="Times New Roman" w:cs="Times New Roman"/>
          <w:b/>
          <w:bCs/>
          <w:sz w:val="24"/>
          <w:szCs w:val="24"/>
          <w:lang w:val="pl-PL"/>
        </w:rPr>
        <w:t>wzajemnego uznawania norm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czyli zasad, które umożliwiają urzędowi regulacji sprawowanie władzy w jurysdykcji drugiej strony. Jednak o ile w niekt</w:t>
      </w:r>
      <w:r w:rsidR="00C23E6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órych obszarach porozumienie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wykracza </w:t>
      </w:r>
      <w:r w:rsidR="00C23E6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to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poza zasady Światowej Organizacji Handlu dotyczące norm, o tyle </w:t>
      </w:r>
      <w:r w:rsidRPr="00CE3EB1">
        <w:rPr>
          <w:rFonts w:ascii="Times New Roman" w:hAnsi="Times New Roman" w:cs="Times New Roman"/>
          <w:b/>
          <w:bCs/>
          <w:sz w:val="24"/>
          <w:szCs w:val="24"/>
          <w:lang w:val="pl-PL"/>
        </w:rPr>
        <w:t>w przypadku wielu branż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będą istniały znaczne </w:t>
      </w:r>
      <w:r w:rsidRPr="00CE3EB1">
        <w:rPr>
          <w:rFonts w:ascii="Times New Roman" w:hAnsi="Times New Roman" w:cs="Times New Roman"/>
          <w:b/>
          <w:bCs/>
          <w:sz w:val="24"/>
          <w:szCs w:val="24"/>
          <w:lang w:val="pl-PL"/>
        </w:rPr>
        <w:t>bariery pozataryfowe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Na przykład w załączniku dotyczącym produktów leczniczych zawarto porozumienie w sprawie wzajemnego uznawania inspekcji i dobrych praktyk wytwarzania, co jest kluczowym wymogiem dla przemysłu farmaceutycznego. Pozwoli to uniknąć podwojenia procesów dla obu rynków. Istnieją jednak obszary, takie jak regulacje prawne w zakresie chemikaliów i </w:t>
      </w:r>
      <w:r w:rsidR="00C23E6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udostępniania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danych, w których porozumienie to jest zdecydowanie niewystarczające dla takiej współpracy (zob. poniżej).</w:t>
      </w:r>
    </w:p>
    <w:p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AD7DC4" w:rsidRPr="002F1E1D" w:rsidRDefault="00AD7DC4" w:rsidP="00AD7DC4">
      <w:pPr>
        <w:spacing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 xml:space="preserve">Równe szanse </w:t>
      </w:r>
    </w:p>
    <w:p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umowie określono, że UE i Zjednoczone Królestwo zobowiązują się do zapewnienia </w:t>
      </w:r>
      <w:r w:rsidRPr="00F768A6">
        <w:rPr>
          <w:rFonts w:ascii="Times New Roman" w:hAnsi="Times New Roman" w:cs="Times New Roman"/>
          <w:b/>
          <w:bCs/>
          <w:sz w:val="24"/>
          <w:szCs w:val="24"/>
          <w:lang w:val="pl-PL"/>
        </w:rPr>
        <w:t>uczciwej konkurencji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opartej na równych szansach dla obu stron</w:t>
      </w:r>
      <w:r w:rsidR="00F768A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oraz do utrzymania odpowiednio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wysokich standardów poprzez </w:t>
      </w:r>
      <w:r w:rsidRPr="00F768A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klauzulę o niestosowaniu </w:t>
      </w:r>
      <w:r w:rsidR="00143EF8">
        <w:rPr>
          <w:rFonts w:ascii="Times New Roman" w:hAnsi="Times New Roman" w:cs="Times New Roman"/>
          <w:b/>
          <w:bCs/>
          <w:sz w:val="24"/>
          <w:szCs w:val="24"/>
          <w:lang w:val="pl-PL"/>
        </w:rPr>
        <w:t>regresji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Zobowiązanie to nie jest statyczne, ponieważ strony zobowiązują się do dalszego utrzymywania i ulepszania tych standardów, tak aby uczciwa konkurencja przetrwała próbę czasu - </w:t>
      </w:r>
      <w:r w:rsidRPr="00143EF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 xml:space="preserve">ale nie ma w nim </w:t>
      </w:r>
      <w:r w:rsidR="00B97369" w:rsidRPr="00143EF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„</w:t>
      </w:r>
      <w:r w:rsidRPr="00143EF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 xml:space="preserve">klauzuli </w:t>
      </w:r>
      <w:r w:rsidR="00B97369" w:rsidRPr="00143EF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zapadkowej”</w:t>
      </w:r>
      <w:r w:rsidRPr="00143EF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.</w:t>
      </w:r>
    </w:p>
    <w:p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Ponadto nie ma wzmianki o tym, że prawo UE stanowi ramy odniesienia dla równych szans, a klauzula o braku regresu nie jest zobowiązaniem prawnie egzekwowalnym, ponieważ jest wyłączona z mechanizmu rozstrzygania sporów, który ma zastosowanie do pozostałej części umowy i podlega jedynie egzekwowaniu na szczeblu krajowym. </w:t>
      </w:r>
    </w:p>
    <w:p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Przepisy dotyczące równych </w:t>
      </w:r>
      <w:r w:rsidR="00143EF8">
        <w:rPr>
          <w:rFonts w:ascii="Times New Roman" w:hAnsi="Times New Roman" w:cs="Times New Roman"/>
          <w:bCs/>
          <w:sz w:val="24"/>
          <w:szCs w:val="24"/>
          <w:lang w:val="pl-PL"/>
        </w:rPr>
        <w:t>szans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działania obejmują różne rozdziały dotyczące konkurencji, pomocy państwa, przedsiębiorstw państwowych, podatków, środowiska i klimatu. Rozdział dotyczący standardów pracy i standardów socjalnych odnosi się do poziomu ochrony w obszarach:</w:t>
      </w:r>
    </w:p>
    <w:p w:rsidR="00AD7DC4" w:rsidRPr="00AC6D97" w:rsidRDefault="00143EF8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AD7DC4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praw podstawowych w pracy;</w:t>
      </w:r>
    </w:p>
    <w:p w:rsidR="00AD7DC4" w:rsidRPr="00AC6D97" w:rsidRDefault="00143EF8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AD7DC4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bezpieczeństwa i higieny pracy;</w:t>
      </w:r>
    </w:p>
    <w:p w:rsidR="00AD7DC4" w:rsidRPr="00AC6D97" w:rsidRDefault="00143EF8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CF3119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</w:t>
      </w:r>
      <w:r w:rsidR="00AD7DC4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prawiedliwych warunków pracy i standardów zatrudnienia;</w:t>
      </w:r>
    </w:p>
    <w:p w:rsidR="00AD7DC4" w:rsidRPr="00AC6D97" w:rsidRDefault="00143EF8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AD7DC4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prawa do informacji i konsultacji na poziomie przedsiębiorstwa;</w:t>
      </w:r>
    </w:p>
    <w:p w:rsidR="00AD7DC4" w:rsidRPr="00AC6D97" w:rsidRDefault="00143EF8" w:rsidP="002F1E1D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CF3119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restrukturyzacji</w:t>
      </w:r>
      <w:r w:rsidR="00AD7DC4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AD7DC4" w:rsidRPr="00AC6D97" w:rsidRDefault="00AD7DC4" w:rsidP="00AD7DC4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Głównym organem nadzorującym wykonanie umowy jest </w:t>
      </w:r>
      <w:r w:rsidRPr="00B0043F">
        <w:rPr>
          <w:rFonts w:ascii="Times New Roman" w:hAnsi="Times New Roman" w:cs="Times New Roman"/>
          <w:b/>
          <w:bCs/>
          <w:sz w:val="24"/>
          <w:szCs w:val="24"/>
          <w:lang w:val="pl-PL"/>
        </w:rPr>
        <w:t>Rada Partnerstwa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organ polityczny, w którym reprezentowane są UE i Wielka Brytania. Obie strony mogą również odwoływać się do </w:t>
      </w:r>
      <w:r w:rsidRPr="00B0043F">
        <w:rPr>
          <w:rFonts w:ascii="Times New Roman" w:hAnsi="Times New Roman" w:cs="Times New Roman"/>
          <w:b/>
          <w:bCs/>
          <w:sz w:val="24"/>
          <w:szCs w:val="24"/>
          <w:lang w:val="pl-PL"/>
        </w:rPr>
        <w:t>arbitrażu w celu rozwiązywania sporów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Jednak przepisy dotyczące równych szans w zakresie konkurencji (z wyjątkiem dotacji państwowych), pracy, ochrony środowiska i opodatkowania </w:t>
      </w:r>
      <w:r w:rsidRPr="00B0043F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nie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są przedmiotem </w:t>
      </w:r>
      <w:r w:rsidRPr="00B0043F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głównego procesu rozstrzygania sporów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lecz raczej szcze</w:t>
      </w:r>
      <w:r w:rsidR="00A30433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gólnego procesu.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:rsidR="00AD7DC4" w:rsidRPr="00AC6D97" w:rsidRDefault="00AD7DC4" w:rsidP="00AD7DC4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pierwszej kolejności umowa koncentruje się przede wszystkim na środkach dotyczących krajowego rynku pracy, mających na celu zapewnienie przestrzegania zobowiązań w zakresie pracy, </w:t>
      </w:r>
      <w:r w:rsidR="00A30433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lecz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 przypadku</w:t>
      </w:r>
      <w:r w:rsidR="00B0043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sporu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</w:t>
      </w:r>
      <w:r w:rsidR="00B0043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niepowodzenia  konsultacji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 drugą stroną nie powiodą się, zespół ekspertów może wydać 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>zalecenie</w:t>
      </w:r>
      <w:r w:rsidR="005C5B15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a następnie strony rozważą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podjęcie odpowiednich środków. Jeżeli jedna ze stron postanowi </w:t>
      </w:r>
      <w:r w:rsidRPr="00B0043F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nie zastosować się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do 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>zalecenia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strona poszkodowana może skorzystać z tymczasowych środków zaradczych. Indywidualni pra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cownicy </w:t>
      </w:r>
      <w:r w:rsidR="00B96F6F" w:rsidRPr="00B96F6F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nie mogą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wykorzystywać 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mowy w sensie prawnym w celu obrony swoich praw, co stoi w bezpośredniej sprzeczności z prawami pr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>zedsiębiorstw do korzystania z 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mowy w sądzie, </w:t>
      </w:r>
      <w:r w:rsidR="005C5B15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jeśli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czują się poszkodowani w wyniku decyzji dotyczącej pomocy państwa. </w:t>
      </w:r>
    </w:p>
    <w:p w:rsidR="00AD7DC4" w:rsidRPr="00AC6D97" w:rsidRDefault="00AD7DC4" w:rsidP="00AD7DC4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Istnieje również </w:t>
      </w:r>
      <w:r w:rsidRPr="00B96F6F">
        <w:rPr>
          <w:rFonts w:ascii="Times New Roman" w:hAnsi="Times New Roman" w:cs="Times New Roman"/>
          <w:b/>
          <w:bCs/>
          <w:sz w:val="24"/>
          <w:szCs w:val="24"/>
          <w:lang w:val="pl-PL"/>
        </w:rPr>
        <w:t>mechanizm przywracania równowagi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który jest uruchamiany, jeżeli naruszenie przepisów dotyczących równych szans, w tym naruszenie praw pracowników, ma istotny wpływ na handel, co można wykazać 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>przy pomocy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wiarygodnych dowodów. W tym przypadku strona poszkodowana może jednostronnie podjąć środki </w:t>
      </w:r>
      <w:r w:rsidR="005C5B15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zaradcze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dostosować dostęp do rynku przyznany drugiej stronie, tak aby był on współmierny do poziomu zgodności z umową. Jest to standardowe podejście w umowach o wolnym handlu i jeden ze związków zawodowych zawsze odrzucał je jako niepraktyczne ze względu na </w:t>
      </w:r>
      <w:r w:rsidRPr="00B96F6F">
        <w:rPr>
          <w:rFonts w:ascii="Times New Roman" w:hAnsi="Times New Roman" w:cs="Times New Roman"/>
          <w:b/>
          <w:bCs/>
          <w:sz w:val="24"/>
          <w:szCs w:val="24"/>
          <w:lang w:val="pl-PL"/>
        </w:rPr>
        <w:t>ciężar dowodu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2F1E1D" w:rsidRDefault="002F1E1D" w:rsidP="00DD70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pl-PL"/>
        </w:rPr>
      </w:pPr>
    </w:p>
    <w:p w:rsidR="00DD7029" w:rsidRPr="002F1E1D" w:rsidRDefault="00DD7029" w:rsidP="00DD70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 xml:space="preserve">Zaangażowanie związków zawodowych </w:t>
      </w:r>
    </w:p>
    <w:p w:rsidR="00B96F6F" w:rsidRPr="00B96F6F" w:rsidRDefault="00B96F6F" w:rsidP="00DD70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pl-PL"/>
        </w:rPr>
      </w:pPr>
    </w:p>
    <w:p w:rsidR="00DD7029" w:rsidRPr="00AC6D97" w:rsidRDefault="00DD7029" w:rsidP="00DD70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Jeśli chodzi o zaangażowanie związków zawodowych w monitorowanie i egzekwowanie postanowień umowy, zostanie ustanowiona </w:t>
      </w:r>
      <w:r w:rsidRPr="00B96F6F">
        <w:rPr>
          <w:rFonts w:ascii="Times New Roman" w:hAnsi="Times New Roman" w:cs="Times New Roman"/>
          <w:b/>
          <w:bCs/>
          <w:sz w:val="24"/>
          <w:szCs w:val="24"/>
          <w:lang w:val="pl-PL"/>
        </w:rPr>
        <w:t>wewnętrzna grupa doradcza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w skład której wejdą związki zawodowe, przedsiębiorstwa i podmioty s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>połeczeństwa obywatelskiego – a także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B96F6F">
        <w:rPr>
          <w:rFonts w:ascii="Times New Roman" w:hAnsi="Times New Roman" w:cs="Times New Roman"/>
          <w:b/>
          <w:bCs/>
          <w:sz w:val="24"/>
          <w:szCs w:val="24"/>
          <w:lang w:val="pl-PL"/>
        </w:rPr>
        <w:t>Forum Społeczeństwa Obywatelskiego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 Są to standardowe środki stosowane w ramach umów handlowych UE i były one powszechnie krytykowane jako niewystarczające do zapewnienia odpowiedniego zaangażowania.</w:t>
      </w:r>
    </w:p>
    <w:p w:rsidR="00DD7029" w:rsidRPr="00AC6D97" w:rsidRDefault="00DD7029" w:rsidP="00DD70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DD7029" w:rsidRPr="00B96F6F" w:rsidRDefault="00DD7029" w:rsidP="00DD70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B96F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>Co to oznacza dla konkretnych branż?</w:t>
      </w:r>
    </w:p>
    <w:p w:rsidR="00B96F6F" w:rsidRDefault="00B96F6F" w:rsidP="00DD70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DD7029" w:rsidRPr="00AC6D97" w:rsidRDefault="00DD7029" w:rsidP="00DD70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proofErr w:type="spellStart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Brexit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niewątpliwie będzie miał wpływ na </w:t>
      </w:r>
      <w:r w:rsidRPr="00DC1C0D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wszystkie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sektory przemysłowe i produkcyjne zarówno w Wielkiej Brytanii, jak i w UE-27. Jednakże w trzech naszych sieciach sektorowych: </w:t>
      </w:r>
      <w:r w:rsidRPr="00DC1C0D">
        <w:rPr>
          <w:rFonts w:ascii="Times New Roman" w:hAnsi="Times New Roman" w:cs="Times New Roman"/>
          <w:b/>
          <w:bCs/>
          <w:sz w:val="24"/>
          <w:szCs w:val="24"/>
          <w:lang w:val="pl-PL"/>
        </w:rPr>
        <w:t>motoryzacyjnej, lotniczej i kosmicznej oraz chemicznej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</w:t>
      </w:r>
      <w:r w:rsidRPr="00DC1C0D">
        <w:rPr>
          <w:rFonts w:ascii="Times New Roman" w:hAnsi="Times New Roman" w:cs="Times New Roman"/>
          <w:b/>
          <w:bCs/>
          <w:sz w:val="24"/>
          <w:szCs w:val="24"/>
          <w:lang w:val="pl-PL"/>
        </w:rPr>
        <w:t>pojawiły się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konkretne obawy. Kluczowe aspekty umowy o handlu i współpracy między UE a Zjednoczonym Królestwem, w tym załączniki, które obejmują te poszczególne sektory, zostały omówione poniżej. </w:t>
      </w:r>
    </w:p>
    <w:p w:rsidR="00C00FCD" w:rsidRPr="00AC6D97" w:rsidRDefault="00C00FCD" w:rsidP="003A0C2C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pl-PL"/>
        </w:rPr>
      </w:pPr>
    </w:p>
    <w:p w:rsidR="0036694C" w:rsidRPr="004219FB" w:rsidRDefault="0036694C" w:rsidP="0036694C">
      <w:pPr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4219F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>Motoryzacja</w:t>
      </w:r>
    </w:p>
    <w:p w:rsidR="0036694C" w:rsidRPr="00AC6D97" w:rsidRDefault="001C636B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36694C" w:rsidRPr="00DC1C0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Reguły pochodzenia</w:t>
      </w:r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towary będą podlegały zasadzie </w:t>
      </w:r>
      <w:r w:rsidR="0036694C" w:rsidRPr="00DC1C0D">
        <w:rPr>
          <w:rFonts w:ascii="Times New Roman" w:hAnsi="Times New Roman" w:cs="Times New Roman"/>
          <w:b/>
          <w:bCs/>
          <w:sz w:val="24"/>
          <w:szCs w:val="24"/>
          <w:lang w:val="pl-PL"/>
        </w:rPr>
        <w:t>dwustronnej kumulacji</w:t>
      </w:r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reguł pochodzenia wspieranej przez </w:t>
      </w:r>
      <w:proofErr w:type="spellStart"/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samocertyfikację</w:t>
      </w:r>
      <w:proofErr w:type="spellEnd"/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dostawców.</w:t>
      </w:r>
    </w:p>
    <w:p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o </w:t>
      </w:r>
      <w:r w:rsidRPr="001C636B">
        <w:rPr>
          <w:rFonts w:ascii="Times New Roman" w:hAnsi="Times New Roman" w:cs="Times New Roman"/>
          <w:b/>
          <w:bCs/>
          <w:sz w:val="24"/>
          <w:szCs w:val="24"/>
          <w:lang w:val="pl-PL"/>
        </w:rPr>
        <w:t>Samochody elektryczne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uzgodniono pewne szczegółowe zasady dotyczące części pojazdów elektrycznych, z wyłączeniem na okres </w:t>
      </w:r>
      <w:r w:rsidRPr="001C636B">
        <w:rPr>
          <w:rFonts w:ascii="Times New Roman" w:hAnsi="Times New Roman" w:cs="Times New Roman"/>
          <w:b/>
          <w:bCs/>
          <w:sz w:val="24"/>
          <w:szCs w:val="24"/>
          <w:lang w:val="pl-PL"/>
        </w:rPr>
        <w:t>do sześciu lat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w celu ustanowienia w UE strategicznych łańcuchów dostaw baterii. </w:t>
      </w:r>
    </w:p>
    <w:p w:rsidR="0036694C" w:rsidRPr="001C636B" w:rsidRDefault="001C636B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36694C" w:rsidRPr="001C636B">
        <w:rPr>
          <w:rFonts w:ascii="Times New Roman" w:hAnsi="Times New Roman" w:cs="Times New Roman"/>
          <w:b/>
          <w:bCs/>
          <w:sz w:val="24"/>
          <w:szCs w:val="24"/>
          <w:lang w:val="pl-PL"/>
        </w:rPr>
        <w:t>Załącznik dotyczący pojazdów silnikowych i ich części (bariery techniczne w handlu)</w:t>
      </w:r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w związku z umową ogólną uzgodniono specjalny załącznik w celu ułatwienia dwustronnej współpracy </w:t>
      </w:r>
      <w:r w:rsidR="0036694C" w:rsidRPr="001C636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handlowej i regulacyjnej w zakresie pojazdów silnikowych i części wyposażenia. </w:t>
      </w:r>
    </w:p>
    <w:p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C636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1C636B">
        <w:rPr>
          <w:rFonts w:ascii="Times New Roman" w:hAnsi="Times New Roman" w:cs="Times New Roman"/>
          <w:b/>
          <w:bCs/>
          <w:sz w:val="24"/>
          <w:szCs w:val="24"/>
          <w:lang w:val="pl-PL"/>
        </w:rPr>
        <w:t>Zbieżność przepisów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w oparciu o międzynarodowe standardy UNECE. </w:t>
      </w:r>
    </w:p>
    <w:p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45370A">
        <w:rPr>
          <w:rFonts w:ascii="Times New Roman" w:hAnsi="Times New Roman" w:cs="Times New Roman"/>
          <w:b/>
          <w:bCs/>
          <w:sz w:val="24"/>
          <w:szCs w:val="24"/>
          <w:lang w:val="pl-PL"/>
        </w:rPr>
        <w:t>Świadectwa homologacji typu UN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wszystkie produkty objęte tymi świadectwami będą uznawane przez obie strony. </w:t>
      </w:r>
    </w:p>
    <w:p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45370A">
        <w:rPr>
          <w:rFonts w:ascii="Times New Roman" w:hAnsi="Times New Roman" w:cs="Times New Roman"/>
          <w:b/>
          <w:bCs/>
          <w:sz w:val="24"/>
          <w:szCs w:val="24"/>
          <w:lang w:val="pl-PL"/>
        </w:rPr>
        <w:t>Nadzór rynkowy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obie strony będą współpracować w celu ułatwienia identyfikacji i rozwiązania kwestii niezgodności. </w:t>
      </w:r>
    </w:p>
    <w:p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45370A">
        <w:rPr>
          <w:rFonts w:ascii="Times New Roman" w:hAnsi="Times New Roman" w:cs="Times New Roman"/>
          <w:b/>
          <w:bCs/>
          <w:sz w:val="24"/>
          <w:szCs w:val="24"/>
          <w:lang w:val="pl-PL"/>
        </w:rPr>
        <w:t>Współpraca badawcza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obie Strony zobowiązują się do współpracy w zakresie badań nad nowymi przepisami dotyczącymi bezpieczeństwa pojazdów lub związanymi z nimi normami, zaawansowaną redukcją emisji oraz nowymi technologiami pojazdów. </w:t>
      </w:r>
    </w:p>
    <w:p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45370A">
        <w:rPr>
          <w:rFonts w:ascii="Times New Roman" w:hAnsi="Times New Roman" w:cs="Times New Roman"/>
          <w:b/>
          <w:bCs/>
          <w:sz w:val="24"/>
          <w:szCs w:val="24"/>
          <w:lang w:val="pl-PL"/>
        </w:rPr>
        <w:t>Grupa robocza ds. pojazdów silnikowych i części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będzie wspierać </w:t>
      </w:r>
      <w:r w:rsidR="0045370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Specjalistyczny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Komitet </w:t>
      </w:r>
      <w:r w:rsidR="0045370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ds.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Barier Technicznych w Handlu w zakresie monitorowania i przeglądu wdrażania oraz zapewnienia właściwego funkcjonowania umowy specjalnej (załącznik). </w:t>
      </w:r>
    </w:p>
    <w:p w:rsidR="00045467" w:rsidRDefault="00045467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36694C" w:rsidRPr="002F1E1D" w:rsidRDefault="0036694C" w:rsidP="0036694C">
      <w:pPr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 xml:space="preserve">Reakcja przemysłu (04/01/2021): </w:t>
      </w:r>
    </w:p>
    <w:p w:rsidR="0036694C" w:rsidRPr="00045467" w:rsidRDefault="0036694C" w:rsidP="0036694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Europejskie Stowarzyszenie Producentów Samochodów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(ACEA) zareagowało przychylnie na ogłoszenie porozumienia, ponieważ jego brak miałby katastrofalne skutki dla przemysłu. Podkreślają oni jednak, że handel towarami będzie </w:t>
      </w:r>
      <w:r w:rsidRPr="00045467">
        <w:rPr>
          <w:rFonts w:ascii="Times New Roman" w:hAnsi="Times New Roman" w:cs="Times New Roman"/>
          <w:bCs/>
          <w:i/>
          <w:sz w:val="24"/>
          <w:szCs w:val="24"/>
          <w:lang w:val="pl-PL"/>
        </w:rPr>
        <w:t>"w dużym stopniu dotknięty barierami w handlu w postaci nowych procedur celnych"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że umowa nadal wprowadza </w:t>
      </w: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zbyt dużo biurokracji i obciążeń regulacyjnych dla przemysłu. </w:t>
      </w:r>
    </w:p>
    <w:p w:rsidR="0036694C" w:rsidRPr="00AC6D97" w:rsidRDefault="0036694C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Europejskie Stowarzyszenie Dostawców Samochodów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(CLEPA) również zareagowało pozytywnie, ale uważa, że umowa stanowi punkt wyjścia dla zapewnienia współpracy obu</w:t>
      </w:r>
      <w:r w:rsidR="0004546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stron i podkreśla, że </w:t>
      </w:r>
      <w:r w:rsidR="00045467"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bariery  handlowe</w:t>
      </w: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zostaną reaktywowane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</w:t>
      </w:r>
    </w:p>
    <w:p w:rsidR="0036694C" w:rsidRPr="00AC6D97" w:rsidRDefault="0036694C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Brytyjskie Stowarzyszenie Producentów i Handlowców Motoryzacyjnych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(SMMT) również z zadowoleniem przyjęło porozumienie obejmujące reguły pochodzenia z okresami stopniowego wprowadzania oraz zobowiązanie do zmniejszenia obciążeń celnych. Nadal jednak wzywają one rząd Zjednoczonego Królestwa do zapewnienia konkretnych dodatkowych okresów stopniowego wprowadzania wymogów administracyjnych oraz do </w:t>
      </w: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inwestowania w zelektryfikowany łańcuch dostaw w Zjednoczonym Królestwie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</w:t>
      </w:r>
    </w:p>
    <w:p w:rsidR="0036694C" w:rsidRPr="00AC6D97" w:rsidRDefault="0036694C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Jednakże, chociaż producenci OEM działający w Zjednoczonym Królestwie, tacy jak </w:t>
      </w: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Toyota, Nissan, PSA i BMW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przyjęli umowę z zadowoleniem, zapowiedzieli on</w:t>
      </w:r>
      <w:r w:rsidR="0004546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 również, że </w:t>
      </w:r>
      <w:r w:rsidR="00045467"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zanim przekażą informację</w:t>
      </w: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o wpływie, jaki będzie ona miała na ich działalność w Zjednoczonym Królestwie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dokonają oceny szczegółów prawnych tekstu. </w:t>
      </w:r>
    </w:p>
    <w:p w:rsidR="00036D9F" w:rsidRPr="002F1E1D" w:rsidRDefault="00255FAC" w:rsidP="00036D9F">
      <w:pPr>
        <w:spacing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lastRenderedPageBreak/>
        <w:t>Lotnictwo</w:t>
      </w:r>
    </w:p>
    <w:p w:rsidR="00036D9F" w:rsidRPr="00AC6D97" w:rsidRDefault="00036F64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Umowa określa nowe zasady i warunki dostępu do rynku, jak również ustalenia dotyczące współpracy w dziedzinie bezpieczeństwa lotniczego, ochrony i zarządzania ruchem lotniczym. </w:t>
      </w:r>
    </w:p>
    <w:p w:rsidR="00036D9F" w:rsidRPr="00AC6D97" w:rsidRDefault="002F1E1D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Zjednoczone Królestwo nie będzie już stosować </w:t>
      </w:r>
      <w:r w:rsidR="00036D9F" w:rsidRPr="00062C8C">
        <w:rPr>
          <w:rFonts w:ascii="Times New Roman" w:hAnsi="Times New Roman" w:cs="Times New Roman"/>
          <w:b/>
          <w:bCs/>
          <w:sz w:val="24"/>
          <w:szCs w:val="24"/>
          <w:lang w:val="pl-PL"/>
        </w:rPr>
        <w:t>unijnych ram regulacyjnych w zakresie bezpieczeństwa lotniczego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nie będzie wchodzić w skład </w:t>
      </w:r>
      <w:r w:rsidR="00036D9F" w:rsidRPr="00062C8C">
        <w:rPr>
          <w:rFonts w:ascii="Times New Roman" w:hAnsi="Times New Roman" w:cs="Times New Roman"/>
          <w:b/>
          <w:bCs/>
          <w:sz w:val="24"/>
          <w:szCs w:val="24"/>
          <w:lang w:val="pl-PL"/>
        </w:rPr>
        <w:t>Agencji Bezpieczeństwa Lotniczego Unii Europejskiej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(EASA), a prace regulacyjne będą podejmowane przez brytyjski urząd lotnictwa cywilnego. </w:t>
      </w:r>
    </w:p>
    <w:p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062C8C">
        <w:rPr>
          <w:rFonts w:ascii="Times New Roman" w:hAnsi="Times New Roman" w:cs="Times New Roman"/>
          <w:b/>
          <w:bCs/>
          <w:sz w:val="24"/>
          <w:szCs w:val="24"/>
          <w:lang w:val="pl-PL"/>
        </w:rPr>
        <w:t>Handel wyrobami lotniczymi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w umowie zawarto nowe ustalenia dotyczące uznawania przyszłych certyfikatów projektowych i środowiskowych oraz nadzoru nad organizacją produkcji. </w:t>
      </w:r>
    </w:p>
    <w:p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062C8C">
        <w:rPr>
          <w:rFonts w:ascii="Times New Roman" w:hAnsi="Times New Roman" w:cs="Times New Roman"/>
          <w:b/>
          <w:bCs/>
          <w:sz w:val="24"/>
          <w:szCs w:val="24"/>
          <w:lang w:val="pl-PL"/>
        </w:rPr>
        <w:t>Istniejące certyfikaty projektowe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: certyfikaty wydane zgodnie z przepisami UE przed 01/01/2021 pozostają ważne i produkty te mogą być nadal wykorzystywane.</w:t>
      </w:r>
    </w:p>
    <w:p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062C8C">
        <w:rPr>
          <w:rFonts w:ascii="Times New Roman" w:hAnsi="Times New Roman" w:cs="Times New Roman"/>
          <w:b/>
          <w:bCs/>
          <w:sz w:val="24"/>
          <w:szCs w:val="24"/>
          <w:lang w:val="pl-PL"/>
        </w:rPr>
        <w:t>Załącznik dotyczący bezpieczeństwa lotniczego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: obie strony zgadzają się na współpracę w następujących obszarach: certyfikaty zdolności do lotu i monitorowanie wyrobów lotniczych stosowanych w lotnictwie cywilnym, certyfikaty ochrony środowiska i badania wyrobów lotniczych stosowanych w lotnictwi</w:t>
      </w:r>
      <w:r w:rsidR="00BF52A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e cywilnym, certyfikaty projektowe i produkcyjne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oraz monitor</w:t>
      </w:r>
      <w:r w:rsidR="00BF52A8">
        <w:rPr>
          <w:rFonts w:ascii="Times New Roman" w:hAnsi="Times New Roman" w:cs="Times New Roman"/>
          <w:bCs/>
          <w:sz w:val="24"/>
          <w:szCs w:val="24"/>
          <w:lang w:val="pl-PL"/>
        </w:rPr>
        <w:t>owanie instytucji projektowych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produkujących, certyfikaty instytucji obsługi technicznej i monitorowanie instytucji obsługi technicznej, licencjonowanie i szkolenie personelu, ocena kwalifikacji symulatorów lotu, eksploatacja statków powietrznych, zarządzanie ruchem lotniczym i służby żeglugi powietrznej oraz inne obszary związane z bezpieczeństwem lotniczym.</w:t>
      </w:r>
    </w:p>
    <w:p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Specjalistyczny Komitet ds. Bezpieczeństwa Lotniczego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może przyjmować załączniki (zob. powyżej) wyłącznie w przypadku, gdy każda ze stron ustanowiła wystarczająco równoważny poziom bezpieczeństwa. </w:t>
      </w:r>
    </w:p>
    <w:p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Środki ochronne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każda ze stron może wdrożyć środki ochronne w przypadku stwierdzenia rzeczywistego zagrożenia, o którym druga strona zostanie powiadomiona na piśmie w ciągu 15 dni roboczych. </w:t>
      </w:r>
    </w:p>
    <w:p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Pracownicy posiadający certyfikaty brytyjskie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(np. piloci, mechanicy, egzaminatorzy, instruktorzy itp.)</w:t>
      </w:r>
      <w:r w:rsidR="00BF52A8">
        <w:rPr>
          <w:rFonts w:ascii="Times New Roman" w:hAnsi="Times New Roman" w:cs="Times New Roman"/>
          <w:bCs/>
          <w:sz w:val="24"/>
          <w:szCs w:val="24"/>
          <w:lang w:val="pl-PL"/>
        </w:rPr>
        <w:t>: byli zachęca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ni do uzyskania certyfikatu od państwa członkowskiego UE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przed końcem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okresu przejściowego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(31/12/2020). Organizacje ze Zjednoczonego Królestwa certyfikowane obecnie przez właściwe organy Zjednoczonego Królestwa mogą wystąpić do EASA o wydanie certyfikatu uprawniającego do działania w charakterze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organizacji z państwa trzeciego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</w:t>
      </w:r>
    </w:p>
    <w:p w:rsidR="00036D9F" w:rsidRPr="00BF52A8" w:rsidRDefault="00062C8C" w:rsidP="00036D9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Uznawanie kwalifikacji zawodowych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</w:t>
      </w:r>
      <w:r w:rsidR="00036D9F" w:rsidRPr="00BF52A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nie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jest objęte umową, jednak Strony są zdania, że możliwe są ustalenia dotyczące określonych zawodów lub dodatkowe ustalenia dotyczące wzajemnego uznawania niektórych kwalifikacji zawodowych. W międzyczasie może to powodować problemy dla wykwalifikowanych inżynierów lub techników przemieszczających się </w:t>
      </w:r>
      <w:r w:rsidR="00036D9F" w:rsidRPr="00E337C5">
        <w:rPr>
          <w:rFonts w:ascii="Times New Roman" w:hAnsi="Times New Roman" w:cs="Times New Roman"/>
          <w:bCs/>
          <w:sz w:val="24"/>
          <w:szCs w:val="24"/>
          <w:lang w:val="pl-PL"/>
        </w:rPr>
        <w:t>między Zjednoczonym Królestwem a UE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BF52A8">
        <w:rPr>
          <w:rFonts w:ascii="Times New Roman" w:hAnsi="Times New Roman" w:cs="Times New Roman"/>
          <w:b/>
          <w:bCs/>
          <w:sz w:val="20"/>
          <w:szCs w:val="20"/>
          <w:lang w:val="pl-PL"/>
        </w:rPr>
        <w:t>●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Koniec swobody przemieszczania się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: pracownicy nie będą już mogli swobodnie przemieszczać się między UE-27 a Wielką Brytanią w celu podjęcia pracy.</w:t>
      </w:r>
      <w:r w:rsidR="00E337C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Będzie to miało wpływ na sektor lotniczy i kosmiczny, ponieważ wysoko wyspecjalizowani pracownicy przemieszczali się wcześniej m</w:t>
      </w:r>
      <w:r w:rsidR="00E337C5">
        <w:rPr>
          <w:rFonts w:ascii="Times New Roman" w:hAnsi="Times New Roman" w:cs="Times New Roman"/>
          <w:bCs/>
          <w:sz w:val="24"/>
          <w:szCs w:val="24"/>
          <w:lang w:val="pl-PL"/>
        </w:rPr>
        <w:t>iędzy Wielką Brytanią a UE-27,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aby pracować nad kwestiami technicznymi uwarunkowanymi czasem (w przeciwieństwie do przemieszczania ogromnych i/lub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>delikatnych części/urządzeń).</w:t>
      </w:r>
      <w:r w:rsidR="00E337C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Umowa przewiduje jednak mobilność pracowników wyłącznie do celów tymczasowego świadczenia usług w formie:</w:t>
      </w:r>
    </w:p>
    <w:p w:rsidR="00036D9F" w:rsidRPr="00AC6D97" w:rsidRDefault="00036D9F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 Krótkoterminowych podróży służbowych, trwających maksymalnie 90 dni;</w:t>
      </w:r>
    </w:p>
    <w:p w:rsidR="00036D9F" w:rsidRPr="00AC6D97" w:rsidRDefault="00036D9F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transferów wewnątrz przedsiębiorstwa (ICT), maksymalnie na okres 3 lat w przypadku kadry kierowniczej i 1 roku w przypadku stażystów; </w:t>
      </w:r>
    </w:p>
    <w:p w:rsidR="00036D9F" w:rsidRPr="00AC6D97" w:rsidRDefault="00036D9F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 Prowadzenia działalności gospodarczej na własny rachunek, świadczenia usług w ramach umowy z klientem przez okres nie dłuższy, niż łącznie 12 miesięcy.</w:t>
      </w:r>
    </w:p>
    <w:p w:rsidR="00036D9F" w:rsidRPr="00AC6D97" w:rsidRDefault="00036D9F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036D9F" w:rsidRPr="002F1E1D" w:rsidRDefault="00036D9F" w:rsidP="00036D9F">
      <w:pPr>
        <w:spacing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 xml:space="preserve">Reakcja branży (04/01/2021): </w:t>
      </w:r>
    </w:p>
    <w:p w:rsidR="00036D9F" w:rsidRPr="00AC6D97" w:rsidRDefault="00036D9F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Brytyjskie </w:t>
      </w:r>
      <w:r w:rsidRPr="00E337C5">
        <w:rPr>
          <w:rFonts w:ascii="Times New Roman" w:hAnsi="Times New Roman" w:cs="Times New Roman"/>
          <w:b/>
          <w:bCs/>
          <w:sz w:val="24"/>
          <w:szCs w:val="24"/>
          <w:lang w:val="pl-PL"/>
        </w:rPr>
        <w:t>sektory lotniczy, obronny, bezpieczeństwa i kosmiczny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(ADS) z zadowoleniem przyjęły umowę, która ich zdaniem stanowi najlepsze ramy dla przyszłych relacji, ale </w:t>
      </w:r>
      <w:r w:rsidRPr="00E337C5">
        <w:rPr>
          <w:rFonts w:ascii="Times New Roman" w:hAnsi="Times New Roman" w:cs="Times New Roman"/>
          <w:b/>
          <w:bCs/>
          <w:sz w:val="24"/>
          <w:szCs w:val="24"/>
          <w:lang w:val="pl-PL"/>
        </w:rPr>
        <w:t>nie spełnia wszystkich ich ambicji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</w:t>
      </w:r>
    </w:p>
    <w:p w:rsidR="008B375C" w:rsidRPr="00AC6D97" w:rsidRDefault="008B375C" w:rsidP="001A5D3B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1A5D3B" w:rsidRPr="002F1E1D" w:rsidRDefault="00AE7B10" w:rsidP="001A5D3B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F1E1D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Chemikalia/ Farmaceutyki</w:t>
      </w:r>
    </w:p>
    <w:p w:rsidR="00002357" w:rsidRPr="00AC6D97" w:rsidRDefault="003418E6" w:rsidP="00002357">
      <w:pPr>
        <w:pStyle w:val="Default"/>
        <w:spacing w:after="240"/>
        <w:jc w:val="both"/>
        <w:rPr>
          <w:rFonts w:ascii="Times New Roman" w:hAnsi="Times New Roman" w:cs="Times New Roman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02357" w:rsidRPr="00AC6D97">
        <w:rPr>
          <w:rFonts w:ascii="Times New Roman" w:hAnsi="Times New Roman" w:cs="Times New Roman"/>
          <w:lang w:val="pl-PL"/>
        </w:rPr>
        <w:t xml:space="preserve"> Zjednoczone Królestwo nie będzie już częścią </w:t>
      </w:r>
      <w:r w:rsidR="00002357" w:rsidRPr="009306D7">
        <w:rPr>
          <w:rFonts w:ascii="Times New Roman" w:hAnsi="Times New Roman" w:cs="Times New Roman"/>
          <w:b/>
          <w:lang w:val="pl-PL"/>
        </w:rPr>
        <w:t>Europejskiej Agencji Chemikaliów</w:t>
      </w:r>
      <w:r w:rsidR="00002357" w:rsidRPr="00AC6D97">
        <w:rPr>
          <w:rFonts w:ascii="Times New Roman" w:hAnsi="Times New Roman" w:cs="Times New Roman"/>
          <w:lang w:val="pl-PL"/>
        </w:rPr>
        <w:t xml:space="preserve"> (ECHA), która jest odpowiedzialna za zarządzanie systemem </w:t>
      </w:r>
      <w:r w:rsidR="00002357" w:rsidRPr="009306D7">
        <w:rPr>
          <w:rFonts w:ascii="Times New Roman" w:hAnsi="Times New Roman" w:cs="Times New Roman"/>
          <w:b/>
          <w:lang w:val="pl-PL"/>
        </w:rPr>
        <w:t>REACH</w:t>
      </w:r>
      <w:r w:rsidR="00002357" w:rsidRPr="00AC6D97">
        <w:rPr>
          <w:rFonts w:ascii="Times New Roman" w:hAnsi="Times New Roman" w:cs="Times New Roman"/>
          <w:lang w:val="pl-PL"/>
        </w:rPr>
        <w:t xml:space="preserve"> (rejestracja, ocena, udzielanie zezwoleń i stosowanie ograniczeń w zakresie chemikaliów). </w:t>
      </w:r>
    </w:p>
    <w:p w:rsidR="00002357" w:rsidRPr="00AC6D97" w:rsidRDefault="003418E6" w:rsidP="00002357">
      <w:pPr>
        <w:pStyle w:val="Default"/>
        <w:spacing w:after="240"/>
        <w:jc w:val="both"/>
        <w:rPr>
          <w:rFonts w:ascii="Times New Roman" w:hAnsi="Times New Roman" w:cs="Times New Roman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02357" w:rsidRPr="00AC6D97">
        <w:rPr>
          <w:rFonts w:ascii="Times New Roman" w:hAnsi="Times New Roman" w:cs="Times New Roman"/>
          <w:lang w:val="pl-PL"/>
        </w:rPr>
        <w:t xml:space="preserve"> </w:t>
      </w:r>
      <w:r w:rsidR="00002357" w:rsidRPr="009306D7">
        <w:rPr>
          <w:rFonts w:ascii="Times New Roman" w:hAnsi="Times New Roman" w:cs="Times New Roman"/>
          <w:b/>
          <w:lang w:val="pl-PL"/>
        </w:rPr>
        <w:t>REACH</w:t>
      </w:r>
      <w:r w:rsidR="00002357" w:rsidRPr="00AC6D97">
        <w:rPr>
          <w:rFonts w:ascii="Times New Roman" w:hAnsi="Times New Roman" w:cs="Times New Roman"/>
          <w:lang w:val="pl-PL"/>
        </w:rPr>
        <w:t xml:space="preserve">: od 01/01/2021 r. rozporządzenie UE w sprawie REACH zostało wprowadzone do prawa brytyjskiego i obecnie znane jest pod nazwą </w:t>
      </w:r>
      <w:r w:rsidR="00002357" w:rsidRPr="009306D7">
        <w:rPr>
          <w:rFonts w:ascii="Times New Roman" w:hAnsi="Times New Roman" w:cs="Times New Roman"/>
          <w:b/>
          <w:lang w:val="pl-PL"/>
        </w:rPr>
        <w:t>UK REACH</w:t>
      </w:r>
      <w:r w:rsidR="00002357" w:rsidRPr="00AC6D97">
        <w:rPr>
          <w:rFonts w:ascii="Times New Roman" w:hAnsi="Times New Roman" w:cs="Times New Roman"/>
          <w:lang w:val="pl-PL"/>
        </w:rPr>
        <w:t xml:space="preserve">. Przedsiębiorstwa muszą teraz zapewnić, że spełniają odpowiednie obowiązki wynikające z rozporządzenia REACH </w:t>
      </w:r>
      <w:r w:rsidR="00002357" w:rsidRPr="003418E6">
        <w:rPr>
          <w:rFonts w:ascii="Times New Roman" w:hAnsi="Times New Roman" w:cs="Times New Roman"/>
          <w:b/>
          <w:lang w:val="pl-PL"/>
        </w:rPr>
        <w:t>zarówno</w:t>
      </w:r>
      <w:r w:rsidR="00002357" w:rsidRPr="00AC6D97">
        <w:rPr>
          <w:rFonts w:ascii="Times New Roman" w:hAnsi="Times New Roman" w:cs="Times New Roman"/>
          <w:lang w:val="pl-PL"/>
        </w:rPr>
        <w:t xml:space="preserve"> w Wielkiej Brytanii, jak i w UE, dostarczając lub nabywając substancje, miesz</w:t>
      </w:r>
      <w:r>
        <w:rPr>
          <w:rFonts w:ascii="Times New Roman" w:hAnsi="Times New Roman" w:cs="Times New Roman"/>
          <w:lang w:val="pl-PL"/>
        </w:rPr>
        <w:t>aniny lub artykuły do i z UE, EE</w:t>
      </w:r>
      <w:r w:rsidR="00002357" w:rsidRPr="00AC6D97">
        <w:rPr>
          <w:rFonts w:ascii="Times New Roman" w:hAnsi="Times New Roman" w:cs="Times New Roman"/>
          <w:lang w:val="pl-PL"/>
        </w:rPr>
        <w:t xml:space="preserve">G i Wielkiej Brytanii. Niewątpliwie spowoduje to większe </w:t>
      </w:r>
      <w:r w:rsidR="00002357" w:rsidRPr="003418E6">
        <w:rPr>
          <w:rFonts w:ascii="Times New Roman" w:hAnsi="Times New Roman" w:cs="Times New Roman"/>
          <w:b/>
          <w:lang w:val="pl-PL"/>
        </w:rPr>
        <w:t>obciążenia administracyjne</w:t>
      </w:r>
      <w:r w:rsidR="00002357" w:rsidRPr="00AC6D97">
        <w:rPr>
          <w:rFonts w:ascii="Times New Roman" w:hAnsi="Times New Roman" w:cs="Times New Roman"/>
          <w:lang w:val="pl-PL"/>
        </w:rPr>
        <w:t xml:space="preserve"> dla przedsiębiorstw. </w:t>
      </w:r>
    </w:p>
    <w:p w:rsidR="00002357" w:rsidRPr="00AC6D97" w:rsidRDefault="003418E6" w:rsidP="00002357">
      <w:pPr>
        <w:pStyle w:val="Default"/>
        <w:spacing w:after="240"/>
        <w:jc w:val="both"/>
        <w:rPr>
          <w:rFonts w:ascii="Times New Roman" w:hAnsi="Times New Roman" w:cs="Times New Roman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02357" w:rsidRPr="00AC6D97">
        <w:rPr>
          <w:rFonts w:ascii="Times New Roman" w:hAnsi="Times New Roman" w:cs="Times New Roman"/>
          <w:lang w:val="pl-PL"/>
        </w:rPr>
        <w:t xml:space="preserve"> </w:t>
      </w:r>
      <w:r w:rsidR="00002357" w:rsidRPr="003418E6">
        <w:rPr>
          <w:rFonts w:ascii="Times New Roman" w:hAnsi="Times New Roman" w:cs="Times New Roman"/>
          <w:b/>
          <w:lang w:val="pl-PL"/>
        </w:rPr>
        <w:t>Załącznik dotyczący chemikaliów</w:t>
      </w:r>
      <w:r w:rsidR="00002357" w:rsidRPr="00AC6D97">
        <w:rPr>
          <w:rFonts w:ascii="Times New Roman" w:hAnsi="Times New Roman" w:cs="Times New Roman"/>
          <w:lang w:val="pl-PL"/>
        </w:rPr>
        <w:t>: obejmuje handel, regulacje, przywóz i wywóz chemikaliów w odniesieniu do ich rejestracji, oceny, udzielania zezwoleń, ograniczeń, zatwierdzania, klasyfikacji, oznakowania i pakowania.</w:t>
      </w:r>
    </w:p>
    <w:p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3418E6">
        <w:rPr>
          <w:rFonts w:ascii="Times New Roman" w:hAnsi="Times New Roman" w:cs="Times New Roman"/>
          <w:b/>
          <w:lang w:val="pl-PL"/>
        </w:rPr>
        <w:t>Klasyfikacja i oznakowanie</w:t>
      </w:r>
      <w:r w:rsidRPr="00AC6D97">
        <w:rPr>
          <w:rFonts w:ascii="Times New Roman" w:hAnsi="Times New Roman" w:cs="Times New Roman"/>
          <w:lang w:val="pl-PL"/>
        </w:rPr>
        <w:t xml:space="preserve">: obie strony zobowiązują się do wdrożenia Globalnie Zharmonizowanego Systemu Klasyfikacji i Oznakowania Chemikaliów </w:t>
      </w:r>
      <w:r w:rsidR="003418E6">
        <w:rPr>
          <w:rFonts w:ascii="Times New Roman" w:hAnsi="Times New Roman" w:cs="Times New Roman"/>
          <w:lang w:val="pl-PL"/>
        </w:rPr>
        <w:t>ONZ</w:t>
      </w:r>
      <w:r w:rsidRPr="00AC6D97">
        <w:rPr>
          <w:rFonts w:ascii="Times New Roman" w:hAnsi="Times New Roman" w:cs="Times New Roman"/>
          <w:lang w:val="pl-PL"/>
        </w:rPr>
        <w:t xml:space="preserve"> oraz wszelkich wytycznych naukowych i technicznych wydanych przez </w:t>
      </w:r>
      <w:r w:rsidR="000667B7">
        <w:rPr>
          <w:rFonts w:ascii="Times New Roman" w:hAnsi="Times New Roman" w:cs="Times New Roman"/>
          <w:lang w:val="pl-PL"/>
        </w:rPr>
        <w:t>właściwe</w:t>
      </w:r>
      <w:r w:rsidRPr="00AC6D97">
        <w:rPr>
          <w:rFonts w:ascii="Times New Roman" w:hAnsi="Times New Roman" w:cs="Times New Roman"/>
          <w:lang w:val="pl-PL"/>
        </w:rPr>
        <w:t xml:space="preserve"> organizacje i organy międzynarodowe. </w:t>
      </w:r>
    </w:p>
    <w:p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3418E6">
        <w:rPr>
          <w:rFonts w:ascii="Times New Roman" w:hAnsi="Times New Roman" w:cs="Times New Roman"/>
          <w:b/>
          <w:lang w:val="pl-PL"/>
        </w:rPr>
        <w:t>Procedury klasyfikacji</w:t>
      </w:r>
      <w:r w:rsidRPr="00AC6D97">
        <w:rPr>
          <w:rFonts w:ascii="Times New Roman" w:hAnsi="Times New Roman" w:cs="Times New Roman"/>
          <w:lang w:val="pl-PL"/>
        </w:rPr>
        <w:t>: porozumienie osiągnięte w sprawie przejrzystych procedur klasyfikacji substancji i możliwości wymiany informacji jawnych.</w:t>
      </w:r>
    </w:p>
    <w:p w:rsidR="00002357" w:rsidRPr="00AC6D97" w:rsidRDefault="00002357" w:rsidP="002F1E1D">
      <w:pPr>
        <w:pStyle w:val="Default"/>
        <w:spacing w:after="240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3418E6">
        <w:rPr>
          <w:rFonts w:ascii="Times New Roman" w:hAnsi="Times New Roman" w:cs="Times New Roman"/>
          <w:b/>
          <w:lang w:val="pl-PL"/>
        </w:rPr>
        <w:t>Ryzyko rozbieżności</w:t>
      </w:r>
      <w:r w:rsidRPr="00AC6D97">
        <w:rPr>
          <w:rFonts w:ascii="Times New Roman" w:hAnsi="Times New Roman" w:cs="Times New Roman"/>
          <w:lang w:val="pl-PL"/>
        </w:rPr>
        <w:t xml:space="preserve">: ponieważ cele obejmują uznanie, że zobowiązania podjęte w ramach załącznika "nie uniemożliwiają żadnej ze Stron ustalania własnych priorytetów w zakresie regulacji prawnych dotyczących chemikaliów, w tym ustalania własnych poziomów ochrony w odniesieniu do środowiska oraz zdrowia ludzi i zwierząt", istnieje ryzyko rozbieżności i niemożności utrzymania równych szans. </w:t>
      </w:r>
    </w:p>
    <w:p w:rsidR="00002357" w:rsidRPr="00AC6D97" w:rsidRDefault="003418E6" w:rsidP="00002357">
      <w:pPr>
        <w:pStyle w:val="Default"/>
        <w:spacing w:after="240"/>
        <w:jc w:val="both"/>
        <w:rPr>
          <w:rFonts w:ascii="Times New Roman" w:hAnsi="Times New Roman" w:cs="Times New Roman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02357" w:rsidRPr="00AC6D97">
        <w:rPr>
          <w:rFonts w:ascii="Times New Roman" w:hAnsi="Times New Roman" w:cs="Times New Roman"/>
          <w:lang w:val="pl-PL"/>
        </w:rPr>
        <w:t xml:space="preserve"> </w:t>
      </w:r>
      <w:r w:rsidR="00002357" w:rsidRPr="000667B7">
        <w:rPr>
          <w:rFonts w:ascii="Times New Roman" w:hAnsi="Times New Roman" w:cs="Times New Roman"/>
          <w:b/>
          <w:lang w:val="pl-PL"/>
        </w:rPr>
        <w:t>Załącznik dotyczący produktów leczniczych</w:t>
      </w:r>
      <w:r w:rsidR="00002357" w:rsidRPr="00AC6D97">
        <w:rPr>
          <w:rFonts w:ascii="Times New Roman" w:hAnsi="Times New Roman" w:cs="Times New Roman"/>
          <w:lang w:val="pl-PL"/>
        </w:rPr>
        <w:t xml:space="preserve">: ma na celu zapewnienie wzajemnego uznawania </w:t>
      </w:r>
      <w:r w:rsidR="00C7742B">
        <w:rPr>
          <w:rFonts w:ascii="Times New Roman" w:hAnsi="Times New Roman" w:cs="Times New Roman"/>
          <w:lang w:val="pl-PL"/>
        </w:rPr>
        <w:t xml:space="preserve">inspekcji i certyfikatów </w:t>
      </w:r>
      <w:r w:rsidR="00715AA6">
        <w:rPr>
          <w:rFonts w:ascii="Times New Roman" w:hAnsi="Times New Roman" w:cs="Times New Roman"/>
          <w:lang w:val="pl-PL"/>
        </w:rPr>
        <w:t>Dobrej Praktyki Produkcyjnej (GMP)</w:t>
      </w:r>
      <w:r w:rsidR="00002357" w:rsidRPr="00AC6D97">
        <w:rPr>
          <w:rFonts w:ascii="Times New Roman" w:hAnsi="Times New Roman" w:cs="Times New Roman"/>
          <w:lang w:val="pl-PL"/>
        </w:rPr>
        <w:t xml:space="preserve">, co oznacza, że zakłady produkcyjne nie muszą przechodzić odrębnych inspekcji w Zjednoczonym Królestwie i UE, a także stałej współpracy. </w:t>
      </w:r>
    </w:p>
    <w:p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lastRenderedPageBreak/>
        <w:t xml:space="preserve">o </w:t>
      </w:r>
      <w:r w:rsidRPr="00F018C1">
        <w:rPr>
          <w:rFonts w:ascii="Times New Roman" w:hAnsi="Times New Roman" w:cs="Times New Roman"/>
          <w:b/>
          <w:lang w:val="pl-PL"/>
        </w:rPr>
        <w:t>Ułatwian</w:t>
      </w:r>
      <w:r w:rsidR="00F018C1" w:rsidRPr="00F018C1">
        <w:rPr>
          <w:rFonts w:ascii="Times New Roman" w:hAnsi="Times New Roman" w:cs="Times New Roman"/>
          <w:b/>
          <w:lang w:val="pl-PL"/>
        </w:rPr>
        <w:t>ie dostępu do</w:t>
      </w:r>
      <w:r w:rsidRPr="00F018C1">
        <w:rPr>
          <w:rFonts w:ascii="Times New Roman" w:hAnsi="Times New Roman" w:cs="Times New Roman"/>
          <w:b/>
          <w:lang w:val="pl-PL"/>
        </w:rPr>
        <w:t xml:space="preserve"> leków</w:t>
      </w:r>
      <w:r w:rsidRPr="00AC6D97">
        <w:rPr>
          <w:rFonts w:ascii="Times New Roman" w:hAnsi="Times New Roman" w:cs="Times New Roman"/>
          <w:lang w:val="pl-PL"/>
        </w:rPr>
        <w:t xml:space="preserve">: poprzez wzajemne uznawanie na terytorium każdej ze Stron. </w:t>
      </w:r>
    </w:p>
    <w:p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F018C1">
        <w:rPr>
          <w:rFonts w:ascii="Times New Roman" w:hAnsi="Times New Roman" w:cs="Times New Roman"/>
          <w:b/>
          <w:lang w:val="pl-PL"/>
        </w:rPr>
        <w:t>Uznawanie inspekcji</w:t>
      </w:r>
      <w:r w:rsidRPr="00AC6D97">
        <w:rPr>
          <w:rFonts w:ascii="Times New Roman" w:hAnsi="Times New Roman" w:cs="Times New Roman"/>
          <w:lang w:val="pl-PL"/>
        </w:rPr>
        <w:t xml:space="preserve">: obie Strony zaakceptują wyniki inspekcji przeprowadzonych przez drugą Stronę zgodnie z ustalonymi warunkami. </w:t>
      </w:r>
    </w:p>
    <w:p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="00F018C1">
        <w:rPr>
          <w:rFonts w:ascii="Times New Roman" w:hAnsi="Times New Roman" w:cs="Times New Roman"/>
          <w:b/>
          <w:lang w:val="pl-PL"/>
        </w:rPr>
        <w:t>Dobra Praktyka P</w:t>
      </w:r>
      <w:r w:rsidRPr="00F018C1">
        <w:rPr>
          <w:rFonts w:ascii="Times New Roman" w:hAnsi="Times New Roman" w:cs="Times New Roman"/>
          <w:b/>
          <w:lang w:val="pl-PL"/>
        </w:rPr>
        <w:t>rodukcyjna</w:t>
      </w:r>
      <w:r w:rsidRPr="00AC6D97">
        <w:rPr>
          <w:rFonts w:ascii="Times New Roman" w:hAnsi="Times New Roman" w:cs="Times New Roman"/>
          <w:lang w:val="pl-PL"/>
        </w:rPr>
        <w:t xml:space="preserve"> (GMP): każda ze Stron powiadamia drugą Stronę co najmniej 60 dni przed przyjęciem jakichkolwiek nowych środków lub zmian odnoszących się do GMP. </w:t>
      </w:r>
    </w:p>
    <w:p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F018C1">
        <w:rPr>
          <w:rFonts w:ascii="Times New Roman" w:hAnsi="Times New Roman" w:cs="Times New Roman"/>
          <w:b/>
          <w:lang w:val="pl-PL"/>
        </w:rPr>
        <w:t>Współpraca regulacyjna</w:t>
      </w:r>
      <w:r w:rsidRPr="00AC6D97">
        <w:rPr>
          <w:rFonts w:ascii="Times New Roman" w:hAnsi="Times New Roman" w:cs="Times New Roman"/>
          <w:lang w:val="pl-PL"/>
        </w:rPr>
        <w:t xml:space="preserve">: Strony dołożą wszelkich starań, aby konsultować ze sobą, zgodnie z ich odpowiednimi przepisami, propozycji wprowadzenia istotnych zmian do przepisów technicznych lub procedur </w:t>
      </w:r>
      <w:r w:rsidR="00F018C1">
        <w:rPr>
          <w:rFonts w:ascii="Times New Roman" w:hAnsi="Times New Roman" w:cs="Times New Roman"/>
          <w:lang w:val="pl-PL"/>
        </w:rPr>
        <w:t>kontroli</w:t>
      </w:r>
      <w:r w:rsidRPr="00AC6D97">
        <w:rPr>
          <w:rFonts w:ascii="Times New Roman" w:hAnsi="Times New Roman" w:cs="Times New Roman"/>
          <w:lang w:val="pl-PL"/>
        </w:rPr>
        <w:t>.</w:t>
      </w:r>
    </w:p>
    <w:p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F018C1">
        <w:rPr>
          <w:rFonts w:ascii="Times New Roman" w:hAnsi="Times New Roman" w:cs="Times New Roman"/>
          <w:b/>
          <w:lang w:val="pl-PL"/>
        </w:rPr>
        <w:t>Zawieszenie</w:t>
      </w:r>
      <w:r w:rsidRPr="00AC6D97">
        <w:rPr>
          <w:rFonts w:ascii="Times New Roman" w:hAnsi="Times New Roman" w:cs="Times New Roman"/>
          <w:lang w:val="pl-PL"/>
        </w:rPr>
        <w:t>: każda ze Stron ma prawo do całkowitego lub częściowego zawieszenia uznawania inspekcji i akceptacji oficjalnych dokumentów GMP poprzez pisemne potwierdzenie.</w:t>
      </w:r>
    </w:p>
    <w:p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F018C1">
        <w:rPr>
          <w:rFonts w:ascii="Times New Roman" w:hAnsi="Times New Roman" w:cs="Times New Roman"/>
          <w:b/>
          <w:lang w:val="pl-PL"/>
        </w:rPr>
        <w:t>Grupa Robocza ds. Produktów Leczniczych</w:t>
      </w:r>
      <w:r w:rsidRPr="00AC6D97">
        <w:rPr>
          <w:rFonts w:ascii="Times New Roman" w:hAnsi="Times New Roman" w:cs="Times New Roman"/>
          <w:lang w:val="pl-PL"/>
        </w:rPr>
        <w:t xml:space="preserve">: wspiera Specjalistyczny Komitet ds. Barier Technicznych w Handlu w monitorowaniu i przeglądzie wdrażania i zapewnianiu właściwego funkcjonowania Załącznika. </w:t>
      </w:r>
    </w:p>
    <w:p w:rsidR="00002357" w:rsidRPr="00AC6D97" w:rsidRDefault="00002357" w:rsidP="00002357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:rsidR="00FC7EB0" w:rsidRPr="00F018C1" w:rsidRDefault="00FC7EB0" w:rsidP="00FC7EB0">
      <w:pPr>
        <w:spacing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pl-PL"/>
        </w:rPr>
      </w:pPr>
      <w:proofErr w:type="spellStart"/>
      <w:r w:rsidRPr="00F018C1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pl-PL"/>
        </w:rPr>
        <w:t>Brexit</w:t>
      </w:r>
      <w:proofErr w:type="spellEnd"/>
      <w:r w:rsidRPr="00F018C1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pl-PL"/>
        </w:rPr>
        <w:t xml:space="preserve">: to dopiero początek </w:t>
      </w:r>
    </w:p>
    <w:p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Chociaż okres przejściowy dobiegł końca, a umowa o handlu i współpracy między UE a Wielką Brytanią jest stosowana (tymczasowo), rozmowa jest daleka od zakończenia. </w:t>
      </w:r>
      <w:proofErr w:type="spellStart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Brexit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 jakiś sposób wpłynie na wszystkie nasze sektory, a 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>przedsiębiorstwa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przeprowadzają obecnie szczegółowe analizy dotyczące wpływu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 ich działalność.</w:t>
      </w:r>
    </w:p>
    <w:p w:rsidR="00FC7EB0" w:rsidRPr="00AC6D97" w:rsidRDefault="00FC7EB0" w:rsidP="00843CA1">
      <w:pPr>
        <w:shd w:val="clear" w:color="auto" w:fill="FF000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związku z tym 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zwracamy się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naszych członków w ERZ i SE, zgodnie z </w:t>
      </w:r>
      <w:r w:rsidRPr="00F018C1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zaleceniami Europejskich Federacji Związków Zawodowych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z prośbą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07494F">
        <w:rPr>
          <w:rFonts w:ascii="Times New Roman" w:hAnsi="Times New Roman" w:cs="Times New Roman"/>
          <w:b/>
          <w:bCs/>
          <w:sz w:val="24"/>
          <w:szCs w:val="24"/>
          <w:lang w:val="pl-PL"/>
        </w:rPr>
        <w:t>in</w:t>
      </w:r>
      <w:bookmarkStart w:id="0" w:name="_GoBack"/>
      <w:bookmarkEnd w:id="0"/>
      <w:r w:rsidRPr="0007494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formacje i konsultacje na temat </w:t>
      </w:r>
      <w:r w:rsidR="00F018C1" w:rsidRPr="0007494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przewidywanego wpływu </w:t>
      </w:r>
      <w:proofErr w:type="spellStart"/>
      <w:r w:rsidR="00F018C1" w:rsidRPr="0007494F">
        <w:rPr>
          <w:rFonts w:ascii="Times New Roman" w:hAnsi="Times New Roman" w:cs="Times New Roman"/>
          <w:b/>
          <w:bCs/>
          <w:sz w:val="24"/>
          <w:szCs w:val="24"/>
          <w:lang w:val="pl-PL"/>
        </w:rPr>
        <w:t>Brexit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 sytuację gospodarczą i za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>trudnienie w ich międzynarodowych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>przedsiębiorstwach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Wiele dalszych dyskusji i porozumień nadal wymaga omówienia i u</w:t>
      </w:r>
      <w:r w:rsidR="0007494F">
        <w:rPr>
          <w:rFonts w:ascii="Times New Roman" w:hAnsi="Times New Roman" w:cs="Times New Roman"/>
          <w:bCs/>
          <w:sz w:val="24"/>
          <w:szCs w:val="24"/>
          <w:lang w:val="pl-PL"/>
        </w:rPr>
        <w:t>zgodnienia (np. 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sługi), a wiele pozostaje </w:t>
      </w:r>
      <w:r w:rsidR="0007494F">
        <w:rPr>
          <w:rFonts w:ascii="Times New Roman" w:hAnsi="Times New Roman" w:cs="Times New Roman"/>
          <w:bCs/>
          <w:sz w:val="24"/>
          <w:szCs w:val="24"/>
          <w:lang w:val="pl-PL"/>
        </w:rPr>
        <w:t>jeszcze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nieznanych. Jednak </w:t>
      </w:r>
      <w:proofErr w:type="spellStart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industriAll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Europe będzie nadal na bieżąco informować naszych członków i wspierać nasze sektory i pracowników zarówno w Wielkie</w:t>
      </w:r>
      <w:r w:rsidR="001D6AF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j Brytanii, w UE </w:t>
      </w:r>
      <w:r w:rsidR="0007494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całej Europie.</w:t>
      </w:r>
    </w:p>
    <w:p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FC7EB0" w:rsidRPr="0007494F" w:rsidRDefault="00FC7EB0" w:rsidP="00FC7EB0">
      <w:pPr>
        <w:spacing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pl-PL"/>
        </w:rPr>
      </w:pPr>
      <w:r w:rsidRPr="0007494F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pl-PL"/>
        </w:rPr>
        <w:t>Przydatne linki</w:t>
      </w:r>
    </w:p>
    <w:p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Poniżej znajdują się linki do odpowiednich tekstów Komisji Europejskiej i rządu Wielkiej Brytanii:</w:t>
      </w:r>
    </w:p>
    <w:p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</w:t>
      </w:r>
      <w:hyperlink r:id="rId9" w:history="1">
        <w:r w:rsidRPr="00813E13">
          <w:rPr>
            <w:rStyle w:val="Hipercze"/>
            <w:rFonts w:ascii="Times New Roman" w:hAnsi="Times New Roman" w:cs="Times New Roman"/>
            <w:bCs/>
            <w:sz w:val="24"/>
            <w:szCs w:val="24"/>
            <w:lang w:val="pl-PL"/>
          </w:rPr>
          <w:t>Ostateczny pełny tekst (z zastrzeżeniem weryfikacji prawnej)</w:t>
        </w:r>
      </w:hyperlink>
      <w:r w:rsidR="00813E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</w:t>
      </w:r>
      <w:hyperlink r:id="rId10" w:history="1">
        <w:r w:rsidRPr="00813E13">
          <w:rPr>
            <w:rStyle w:val="Hipercze"/>
            <w:rFonts w:ascii="Times New Roman" w:hAnsi="Times New Roman" w:cs="Times New Roman"/>
            <w:bCs/>
            <w:sz w:val="24"/>
            <w:szCs w:val="24"/>
            <w:lang w:val="pl-PL"/>
          </w:rPr>
          <w:t>Przegląd Komisji Europejskiej</w:t>
        </w:r>
      </w:hyperlink>
      <w:r w:rsidR="00813E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</w:t>
      </w:r>
      <w:hyperlink r:id="rId11" w:history="1">
        <w:r w:rsidRPr="00813E13">
          <w:rPr>
            <w:rStyle w:val="Hipercze"/>
            <w:rFonts w:ascii="Times New Roman" w:hAnsi="Times New Roman" w:cs="Times New Roman"/>
            <w:bCs/>
            <w:sz w:val="24"/>
            <w:szCs w:val="24"/>
            <w:lang w:val="pl-PL"/>
          </w:rPr>
          <w:t>Pytania i odpowiedzi Komisji Europejskiej</w:t>
        </w:r>
      </w:hyperlink>
      <w:r w:rsidR="00813E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:rsidR="00FC7EB0" w:rsidRPr="00813E13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13E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</w:t>
      </w:r>
      <w:hyperlink r:id="rId12" w:history="1">
        <w:r w:rsidRPr="00813E13">
          <w:rPr>
            <w:rStyle w:val="Hipercze"/>
            <w:rFonts w:ascii="Times New Roman" w:hAnsi="Times New Roman" w:cs="Times New Roman"/>
            <w:bCs/>
            <w:sz w:val="24"/>
            <w:szCs w:val="24"/>
            <w:lang w:val="pl-PL"/>
          </w:rPr>
          <w:t>Przegląd rządu Wielkiej Brytanii</w:t>
        </w:r>
      </w:hyperlink>
    </w:p>
    <w:p w:rsidR="00FC7EB0" w:rsidRPr="00813E13" w:rsidRDefault="00FC7EB0" w:rsidP="00FC7EB0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pl-PL"/>
        </w:rPr>
      </w:pPr>
    </w:p>
    <w:sectPr w:rsidR="00FC7EB0" w:rsidRPr="00813E13" w:rsidSect="002F1E1D">
      <w:headerReference w:type="default" r:id="rId13"/>
      <w:footerReference w:type="default" r:id="rId14"/>
      <w:pgSz w:w="11906" w:h="16838"/>
      <w:pgMar w:top="1417" w:right="991" w:bottom="1417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E8" w:rsidRDefault="00292EE8" w:rsidP="00E357F9">
      <w:pPr>
        <w:spacing w:after="0" w:line="240" w:lineRule="auto"/>
      </w:pPr>
      <w:r>
        <w:separator/>
      </w:r>
    </w:p>
  </w:endnote>
  <w:endnote w:type="continuationSeparator" w:id="0">
    <w:p w:rsidR="00292EE8" w:rsidRDefault="00292EE8" w:rsidP="00E3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EB" w:rsidRDefault="00B178EB" w:rsidP="00B178EB">
    <w:pPr>
      <w:spacing w:after="0" w:line="240" w:lineRule="auto"/>
      <w:jc w:val="center"/>
      <w:rPr>
        <w:color w:val="365F91"/>
        <w:sz w:val="16"/>
        <w:szCs w:val="16"/>
      </w:rPr>
    </w:pPr>
  </w:p>
  <w:p w:rsidR="00B178EB" w:rsidRPr="00A951F9" w:rsidRDefault="00B178EB" w:rsidP="00B178EB">
    <w:pPr>
      <w:spacing w:after="0" w:line="240" w:lineRule="auto"/>
      <w:jc w:val="center"/>
    </w:pPr>
    <w:r>
      <w:rPr>
        <w:color w:val="365F91"/>
        <w:sz w:val="16"/>
        <w:szCs w:val="16"/>
      </w:rPr>
      <w:t>i</w:t>
    </w:r>
    <w:r w:rsidRPr="00A951F9">
      <w:rPr>
        <w:color w:val="365F91"/>
        <w:sz w:val="16"/>
        <w:szCs w:val="16"/>
      </w:rPr>
      <w:t xml:space="preserve">ndustriAll European Trade Union </w:t>
    </w:r>
    <w:r w:rsidRPr="00A951F9">
      <w:rPr>
        <w:b/>
        <w:bCs/>
        <w:color w:val="365F91"/>
        <w:sz w:val="16"/>
        <w:szCs w:val="16"/>
      </w:rPr>
      <w:t xml:space="preserve">– </w:t>
    </w:r>
    <w:r w:rsidRPr="00A951F9">
      <w:rPr>
        <w:color w:val="365F91"/>
        <w:sz w:val="16"/>
        <w:szCs w:val="16"/>
      </w:rPr>
      <w:t xml:space="preserve">Boulevard du Roi Albert II, 5 </w:t>
    </w:r>
    <w:r w:rsidRPr="00A951F9">
      <w:rPr>
        <w:b/>
        <w:bCs/>
        <w:color w:val="365F91"/>
        <w:sz w:val="16"/>
        <w:szCs w:val="16"/>
      </w:rPr>
      <w:t xml:space="preserve"> – </w:t>
    </w:r>
    <w:r w:rsidRPr="00A951F9">
      <w:rPr>
        <w:color w:val="365F91"/>
        <w:sz w:val="16"/>
        <w:szCs w:val="16"/>
      </w:rPr>
      <w:t xml:space="preserve">B-1210 Brussels – </w:t>
    </w:r>
    <w:r>
      <w:rPr>
        <w:color w:val="365F91"/>
        <w:sz w:val="16"/>
        <w:szCs w:val="16"/>
      </w:rPr>
      <w:t>May</w:t>
    </w:r>
    <w:r w:rsidRPr="00A951F9">
      <w:rPr>
        <w:color w:val="365F91"/>
        <w:sz w:val="16"/>
        <w:szCs w:val="16"/>
      </w:rPr>
      <w:t xml:space="preserve"> 201</w:t>
    </w:r>
    <w:r>
      <w:rPr>
        <w:color w:val="365F91"/>
        <w:sz w:val="16"/>
        <w:szCs w:val="16"/>
      </w:rPr>
      <w:t>5</w:t>
    </w:r>
  </w:p>
  <w:p w:rsidR="00B178EB" w:rsidRPr="00354E46" w:rsidRDefault="00B178EB" w:rsidP="00B178EB">
    <w:pPr>
      <w:spacing w:after="120" w:line="240" w:lineRule="auto"/>
      <w:jc w:val="center"/>
    </w:pPr>
    <w:r w:rsidRPr="00A951F9">
      <w:rPr>
        <w:rFonts w:cs="Calibri"/>
        <w:color w:val="365F91"/>
        <w:sz w:val="16"/>
        <w:szCs w:val="16"/>
      </w:rPr>
      <w:t xml:space="preserve">Contact: </w:t>
    </w:r>
    <w:hyperlink r:id="rId1" w:history="1">
      <w:r w:rsidRPr="00A951F9">
        <w:rPr>
          <w:rStyle w:val="Hipercze"/>
          <w:rFonts w:cs="Calibri"/>
          <w:sz w:val="16"/>
          <w:szCs w:val="16"/>
        </w:rPr>
        <w:t>info@industriAll-europe.eu</w:t>
      </w:r>
    </w:hyperlink>
    <w:r w:rsidRPr="00A951F9">
      <w:rPr>
        <w:rFonts w:cs="Calibri"/>
        <w:color w:val="4F81BD"/>
      </w:rPr>
      <w:t xml:space="preserve"> – </w:t>
    </w:r>
    <w:r w:rsidRPr="00A951F9">
      <w:rPr>
        <w:rFonts w:cs="Calibri"/>
        <w:color w:val="365F91"/>
        <w:sz w:val="16"/>
        <w:szCs w:val="16"/>
      </w:rPr>
      <w:t xml:space="preserve">Tel.: +32 (0)2 226 00 50 – </w:t>
    </w:r>
    <w:hyperlink r:id="rId2" w:history="1">
      <w:r w:rsidRPr="00A951F9">
        <w:rPr>
          <w:rStyle w:val="Hipercze"/>
          <w:rFonts w:cs="Calibri"/>
          <w:sz w:val="16"/>
          <w:szCs w:val="16"/>
        </w:rPr>
        <w:t>www.industriAll-europe.eu</w:t>
      </w:r>
    </w:hyperlink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E8" w:rsidRDefault="00292EE8" w:rsidP="00E357F9">
      <w:pPr>
        <w:spacing w:after="0" w:line="240" w:lineRule="auto"/>
      </w:pPr>
      <w:r>
        <w:separator/>
      </w:r>
    </w:p>
  </w:footnote>
  <w:footnote w:type="continuationSeparator" w:id="0">
    <w:p w:rsidR="00292EE8" w:rsidRDefault="00292EE8" w:rsidP="00E3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EB" w:rsidRPr="002F1E1D" w:rsidRDefault="00B178EB" w:rsidP="00B178EB">
    <w:pPr>
      <w:pStyle w:val="Nagwek"/>
      <w:ind w:right="754"/>
      <w:rPr>
        <w:sz w:val="40"/>
        <w:szCs w:val="40"/>
        <w:lang w:val="pl-PL"/>
      </w:rPr>
    </w:pPr>
    <w:r w:rsidRPr="00F95224">
      <w:rPr>
        <w:rFonts w:cs="Calibri"/>
        <w:noProof/>
        <w:sz w:val="16"/>
        <w:szCs w:val="16"/>
        <w:lang w:val="pl-PL" w:eastAsia="pl-PL"/>
      </w:rPr>
      <w:drawing>
        <wp:anchor distT="0" distB="0" distL="114300" distR="114300" simplePos="0" relativeHeight="251659264" behindDoc="1" locked="0" layoutInCell="1" allowOverlap="1" wp14:anchorId="72F23504" wp14:editId="0AA03734">
          <wp:simplePos x="0" y="0"/>
          <wp:positionH relativeFrom="margin">
            <wp:posOffset>4026340</wp:posOffset>
          </wp:positionH>
          <wp:positionV relativeFrom="paragraph">
            <wp:posOffset>-516792</wp:posOffset>
          </wp:positionV>
          <wp:extent cx="2408555" cy="1133475"/>
          <wp:effectExtent l="0" t="0" r="0" b="9525"/>
          <wp:wrapNone/>
          <wp:docPr id="45" name="Picture 1" descr="O:\WSlade\Indus logo ART vect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8555" cy="1133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F1E1D">
      <w:rPr>
        <w:sz w:val="40"/>
        <w:szCs w:val="40"/>
        <w:lang w:val="pl-PL"/>
      </w:rPr>
      <w:t xml:space="preserve">Policy </w:t>
    </w:r>
    <w:proofErr w:type="spellStart"/>
    <w:r w:rsidRPr="002F1E1D">
      <w:rPr>
        <w:sz w:val="40"/>
        <w:szCs w:val="40"/>
        <w:lang w:val="pl-PL"/>
      </w:rPr>
      <w:t>Brief</w:t>
    </w:r>
    <w:proofErr w:type="spellEnd"/>
    <w:r w:rsidRPr="002F1E1D">
      <w:rPr>
        <w:sz w:val="40"/>
        <w:szCs w:val="40"/>
        <w:lang w:val="pl-PL"/>
      </w:rPr>
      <w:t xml:space="preserve"> 20</w:t>
    </w:r>
    <w:r w:rsidR="003A0C2C" w:rsidRPr="002F1E1D">
      <w:rPr>
        <w:sz w:val="40"/>
        <w:szCs w:val="40"/>
        <w:lang w:val="pl-PL"/>
      </w:rPr>
      <w:t>21</w:t>
    </w:r>
    <w:r w:rsidRPr="002F1E1D">
      <w:rPr>
        <w:sz w:val="40"/>
        <w:szCs w:val="40"/>
        <w:lang w:val="pl-PL"/>
      </w:rPr>
      <w:t>-</w:t>
    </w:r>
    <w:r w:rsidR="00354E46" w:rsidRPr="002F1E1D">
      <w:rPr>
        <w:sz w:val="40"/>
        <w:szCs w:val="40"/>
        <w:lang w:val="pl-PL"/>
      </w:rPr>
      <w:t>01</w:t>
    </w:r>
  </w:p>
  <w:p w:rsidR="00065707" w:rsidRPr="00065707" w:rsidRDefault="00065707" w:rsidP="00065707">
    <w:pPr>
      <w:spacing w:after="0" w:line="240" w:lineRule="auto"/>
      <w:jc w:val="both"/>
      <w:rPr>
        <w:rFonts w:ascii="Times New Roman" w:hAnsi="Times New Roman" w:cs="Times New Roman"/>
        <w:bCs/>
        <w:sz w:val="26"/>
        <w:szCs w:val="26"/>
        <w:lang w:val="pl-PL"/>
      </w:rPr>
    </w:pPr>
    <w:r w:rsidRPr="00065707">
      <w:rPr>
        <w:rFonts w:ascii="Times New Roman" w:hAnsi="Times New Roman" w:cs="Times New Roman"/>
        <w:bCs/>
        <w:sz w:val="26"/>
        <w:szCs w:val="26"/>
        <w:lang w:val="pl-PL"/>
      </w:rPr>
      <w:t xml:space="preserve">Umowa o handlu i współpracy </w:t>
    </w:r>
    <w:r>
      <w:rPr>
        <w:rFonts w:ascii="Times New Roman" w:hAnsi="Times New Roman" w:cs="Times New Roman"/>
        <w:bCs/>
        <w:sz w:val="26"/>
        <w:szCs w:val="26"/>
        <w:lang w:val="pl-PL"/>
      </w:rPr>
      <w:t>między UE a Wielką Brytanią</w:t>
    </w:r>
  </w:p>
  <w:p w:rsidR="00B178EB" w:rsidRPr="002F1E1D" w:rsidRDefault="00B178EB" w:rsidP="00B178EB">
    <w:pPr>
      <w:pStyle w:val="Nagwek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79CC76" wp14:editId="1523CE5A">
              <wp:simplePos x="0" y="0"/>
              <wp:positionH relativeFrom="margin">
                <wp:posOffset>-19050</wp:posOffset>
              </wp:positionH>
              <wp:positionV relativeFrom="paragraph">
                <wp:posOffset>99060</wp:posOffset>
              </wp:positionV>
              <wp:extent cx="6153785" cy="1270"/>
              <wp:effectExtent l="0" t="0" r="18415" b="36830"/>
              <wp:wrapNone/>
              <wp:docPr id="11" name="Freeform: 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785" cy="1270"/>
                      </a:xfrm>
                      <a:custGeom>
                        <a:avLst/>
                        <a:gdLst>
                          <a:gd name="T0" fmla="*/ 3076892 w 6153479"/>
                          <a:gd name="T1" fmla="*/ 0 h 1080"/>
                          <a:gd name="T2" fmla="*/ 6153783 w 6153479"/>
                          <a:gd name="T3" fmla="*/ 636 h 1080"/>
                          <a:gd name="T4" fmla="*/ 3076892 w 6153479"/>
                          <a:gd name="T5" fmla="*/ 1271 h 1080"/>
                          <a:gd name="T6" fmla="*/ 0 w 6153479"/>
                          <a:gd name="T7" fmla="*/ 636 h 1080"/>
                          <a:gd name="T8" fmla="*/ 3077046 w 6153479"/>
                          <a:gd name="T9" fmla="*/ 0 h 1080"/>
                          <a:gd name="T10" fmla="*/ 6154087 w 6153479"/>
                          <a:gd name="T11" fmla="*/ 748 h 1080"/>
                          <a:gd name="T12" fmla="*/ 3077046 w 6153479"/>
                          <a:gd name="T13" fmla="*/ 1496 h 1080"/>
                          <a:gd name="T14" fmla="*/ 0 w 6153479"/>
                          <a:gd name="T15" fmla="*/ 748 h 1080"/>
                          <a:gd name="T16" fmla="*/ 3077200 w 6153479"/>
                          <a:gd name="T17" fmla="*/ 0 h 1080"/>
                          <a:gd name="T18" fmla="*/ 6154391 w 6153479"/>
                          <a:gd name="T19" fmla="*/ 880 h 1080"/>
                          <a:gd name="T20" fmla="*/ 3077200 w 6153479"/>
                          <a:gd name="T21" fmla="*/ 1761 h 1080"/>
                          <a:gd name="T22" fmla="*/ 0 w 6153479"/>
                          <a:gd name="T23" fmla="*/ 880 h 1080"/>
                          <a:gd name="T24" fmla="*/ 3077202 w 6153479"/>
                          <a:gd name="T25" fmla="*/ 0 h 1080"/>
                          <a:gd name="T26" fmla="*/ 6154391 w 6153479"/>
                          <a:gd name="T27" fmla="*/ 880 h 1080"/>
                          <a:gd name="T28" fmla="*/ 3077202 w 6153479"/>
                          <a:gd name="T29" fmla="*/ 1761 h 1080"/>
                          <a:gd name="T30" fmla="*/ 0 w 6153479"/>
                          <a:gd name="T31" fmla="*/ 880 h 1080"/>
                          <a:gd name="T32" fmla="*/ 0 w 6153479"/>
                          <a:gd name="T33" fmla="*/ 0 h 1080"/>
                          <a:gd name="T34" fmla="*/ 6154391 w 6153479"/>
                          <a:gd name="T35" fmla="*/ 1761 h 1080"/>
                          <a:gd name="T36" fmla="*/ 17694720 60000 65536"/>
                          <a:gd name="T37" fmla="*/ 0 60000 65536"/>
                          <a:gd name="T38" fmla="*/ 5898240 60000 65536"/>
                          <a:gd name="T39" fmla="*/ 11796480 60000 65536"/>
                          <a:gd name="T40" fmla="*/ 17694720 60000 65536"/>
                          <a:gd name="T41" fmla="*/ 0 60000 65536"/>
                          <a:gd name="T42" fmla="*/ 5898240 60000 65536"/>
                          <a:gd name="T43" fmla="*/ 11796480 60000 65536"/>
                          <a:gd name="T44" fmla="*/ 17694720 60000 65536"/>
                          <a:gd name="T45" fmla="*/ 0 60000 65536"/>
                          <a:gd name="T46" fmla="*/ 5898240 60000 65536"/>
                          <a:gd name="T47" fmla="*/ 11796480 60000 65536"/>
                          <a:gd name="T48" fmla="*/ 17694720 60000 65536"/>
                          <a:gd name="T49" fmla="*/ 0 60000 65536"/>
                          <a:gd name="T50" fmla="*/ 5898240 60000 65536"/>
                          <a:gd name="T51" fmla="*/ 11796480 60000 65536"/>
                          <a:gd name="T52" fmla="*/ 17694720 60000 65536"/>
                          <a:gd name="T53" fmla="*/ 17694720 60000 65536"/>
                          <a:gd name="T54" fmla="*/ 0 w 6153479"/>
                          <a:gd name="T55" fmla="*/ 0 h 1080"/>
                          <a:gd name="T56" fmla="*/ 6153479 w 6153479"/>
                          <a:gd name="T57" fmla="*/ 1080 h 1080"/>
                        </a:gdLst>
                        <a:ahLst/>
                        <a:cxnLst>
                          <a:cxn ang="T36">
                            <a:pos x="T0" y="T1"/>
                          </a:cxn>
                          <a:cxn ang="T37">
                            <a:pos x="T2" y="T3"/>
                          </a:cxn>
                          <a:cxn ang="T38">
                            <a:pos x="T4" y="T5"/>
                          </a:cxn>
                          <a:cxn ang="T39">
                            <a:pos x="T6" y="T7"/>
                          </a:cxn>
                          <a:cxn ang="T40">
                            <a:pos x="T8" y="T9"/>
                          </a:cxn>
                          <a:cxn ang="T41">
                            <a:pos x="T10" y="T11"/>
                          </a:cxn>
                          <a:cxn ang="T42">
                            <a:pos x="T12" y="T13"/>
                          </a:cxn>
                          <a:cxn ang="T43">
                            <a:pos x="T14" y="T15"/>
                          </a:cxn>
                          <a:cxn ang="T44">
                            <a:pos x="T16" y="T17"/>
                          </a:cxn>
                          <a:cxn ang="T45">
                            <a:pos x="T18" y="T19"/>
                          </a:cxn>
                          <a:cxn ang="T46">
                            <a:pos x="T20" y="T21"/>
                          </a:cxn>
                          <a:cxn ang="T47">
                            <a:pos x="T22" y="T23"/>
                          </a:cxn>
                          <a:cxn ang="T48">
                            <a:pos x="T24" y="T25"/>
                          </a:cxn>
                          <a:cxn ang="T49">
                            <a:pos x="T26" y="T27"/>
                          </a:cxn>
                          <a:cxn ang="T50">
                            <a:pos x="T28" y="T29"/>
                          </a:cxn>
                          <a:cxn ang="T51">
                            <a:pos x="T30" y="T31"/>
                          </a:cxn>
                          <a:cxn ang="T52">
                            <a:pos x="T32" y="T33"/>
                          </a:cxn>
                          <a:cxn ang="T53">
                            <a:pos x="T34" y="T35"/>
                          </a:cxn>
                        </a:cxnLst>
                        <a:rect l="T54" t="T55" r="T56" b="T57"/>
                        <a:pathLst>
                          <a:path w="6153479" h="1080">
                            <a:moveTo>
                              <a:pt x="0" y="0"/>
                            </a:moveTo>
                            <a:lnTo>
                              <a:pt x="6153478" y="1080"/>
                            </a:lnTo>
                          </a:path>
                        </a:pathLst>
                      </a:custGeom>
                      <a:noFill/>
                      <a:ln w="9363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178EB" w:rsidRDefault="00B178EB" w:rsidP="00B178E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: Shape 11" o:spid="_x0000_s1026" style="position:absolute;margin-left:-1.5pt;margin-top:7.8pt;width:484.5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153479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" adj="-11796480,,5400" path="m,l6153478,1080e" filled="f" strokecolor="#4579b8" strokeweight=".26008mm">
              <v:stroke joinstyle="round"/>
              <v:formulas/>
              <v:path o:connecttype="custom" o:connectlocs="3077045,0;6154089,748;3077045,1495;0,748;3077199,0;6154393,880;3077199,1759;0,880;3077353,0;6154697,1035;3077353,2071;0,1035;3077355,0;6154697,1035;3077355,2071;0,1035;0,0;6154697,2071" o:connectangles="270,0,90,180,270,0,90,180,270,0,90,180,270,0,90,180,270,270" textboxrect="0,0,6153479,1080"/>
              <v:textbox inset="0,0,0,0">
                <w:txbxContent>
                  <w:p w:rsidR="00B178EB" w:rsidRDefault="00B178EB" w:rsidP="00B178EB"/>
                </w:txbxContent>
              </v:textbox>
              <w10:wrap anchorx="margin"/>
            </v:shape>
          </w:pict>
        </mc:Fallback>
      </mc:AlternateContent>
    </w:r>
  </w:p>
  <w:p w:rsidR="00B178EB" w:rsidRPr="002F1E1D" w:rsidRDefault="00B178EB" w:rsidP="00B178E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B57"/>
    <w:multiLevelType w:val="hybridMultilevel"/>
    <w:tmpl w:val="B2C8505E"/>
    <w:lvl w:ilvl="0" w:tplc="6330B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D3097"/>
    <w:multiLevelType w:val="hybridMultilevel"/>
    <w:tmpl w:val="88C0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77CC2"/>
    <w:multiLevelType w:val="hybridMultilevel"/>
    <w:tmpl w:val="0A1C3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4DDD"/>
    <w:multiLevelType w:val="hybridMultilevel"/>
    <w:tmpl w:val="07DE1022"/>
    <w:lvl w:ilvl="0" w:tplc="6330B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84AC5"/>
    <w:multiLevelType w:val="hybridMultilevel"/>
    <w:tmpl w:val="D5D27734"/>
    <w:lvl w:ilvl="0" w:tplc="E18445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C2D90"/>
    <w:multiLevelType w:val="multilevel"/>
    <w:tmpl w:val="4BBE0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5500D13"/>
    <w:multiLevelType w:val="multilevel"/>
    <w:tmpl w:val="A720F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9022EDD"/>
    <w:multiLevelType w:val="hybridMultilevel"/>
    <w:tmpl w:val="4676A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53926"/>
    <w:multiLevelType w:val="hybridMultilevel"/>
    <w:tmpl w:val="99EC6820"/>
    <w:lvl w:ilvl="0" w:tplc="0DB086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A7954"/>
    <w:multiLevelType w:val="hybridMultilevel"/>
    <w:tmpl w:val="DF8ED2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66738"/>
    <w:multiLevelType w:val="hybridMultilevel"/>
    <w:tmpl w:val="5880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F0C74"/>
    <w:multiLevelType w:val="hybridMultilevel"/>
    <w:tmpl w:val="9D9C0486"/>
    <w:lvl w:ilvl="0" w:tplc="D7021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D1E1E"/>
    <w:multiLevelType w:val="hybridMultilevel"/>
    <w:tmpl w:val="F9E4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74622"/>
    <w:multiLevelType w:val="hybridMultilevel"/>
    <w:tmpl w:val="D9EC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07617"/>
    <w:multiLevelType w:val="hybridMultilevel"/>
    <w:tmpl w:val="3C12D5A2"/>
    <w:lvl w:ilvl="0" w:tplc="E184457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9C51AC"/>
    <w:multiLevelType w:val="hybridMultilevel"/>
    <w:tmpl w:val="5332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D6FC2"/>
    <w:multiLevelType w:val="hybridMultilevel"/>
    <w:tmpl w:val="5AF6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24BDA"/>
    <w:multiLevelType w:val="hybridMultilevel"/>
    <w:tmpl w:val="3E5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F2E97"/>
    <w:multiLevelType w:val="hybridMultilevel"/>
    <w:tmpl w:val="57641092"/>
    <w:lvl w:ilvl="0" w:tplc="31305632">
      <w:start w:val="2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18"/>
  </w:num>
  <w:num w:numId="7">
    <w:abstractNumId w:val="8"/>
  </w:num>
  <w:num w:numId="8">
    <w:abstractNumId w:val="4"/>
  </w:num>
  <w:num w:numId="9">
    <w:abstractNumId w:val="14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12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BC"/>
    <w:rsid w:val="000019F9"/>
    <w:rsid w:val="00002357"/>
    <w:rsid w:val="0000675E"/>
    <w:rsid w:val="00007066"/>
    <w:rsid w:val="00007DF9"/>
    <w:rsid w:val="00010064"/>
    <w:rsid w:val="00015959"/>
    <w:rsid w:val="00020D54"/>
    <w:rsid w:val="00025690"/>
    <w:rsid w:val="00031C31"/>
    <w:rsid w:val="000338B5"/>
    <w:rsid w:val="00036D9F"/>
    <w:rsid w:val="00036F64"/>
    <w:rsid w:val="00040B2B"/>
    <w:rsid w:val="0004181F"/>
    <w:rsid w:val="00045467"/>
    <w:rsid w:val="00050753"/>
    <w:rsid w:val="00052C19"/>
    <w:rsid w:val="00060DD9"/>
    <w:rsid w:val="00060F1F"/>
    <w:rsid w:val="0006170B"/>
    <w:rsid w:val="00062C8C"/>
    <w:rsid w:val="00063830"/>
    <w:rsid w:val="00065707"/>
    <w:rsid w:val="000667B7"/>
    <w:rsid w:val="0007092F"/>
    <w:rsid w:val="0007494F"/>
    <w:rsid w:val="00076678"/>
    <w:rsid w:val="00077569"/>
    <w:rsid w:val="00077AFE"/>
    <w:rsid w:val="00083325"/>
    <w:rsid w:val="00084BF0"/>
    <w:rsid w:val="00094EE8"/>
    <w:rsid w:val="000A24F6"/>
    <w:rsid w:val="000A32BC"/>
    <w:rsid w:val="000C0C53"/>
    <w:rsid w:val="000C1848"/>
    <w:rsid w:val="000C2569"/>
    <w:rsid w:val="000C3EBD"/>
    <w:rsid w:val="000C6B06"/>
    <w:rsid w:val="000C77FE"/>
    <w:rsid w:val="000D04A8"/>
    <w:rsid w:val="000D0627"/>
    <w:rsid w:val="000D1118"/>
    <w:rsid w:val="000D3CED"/>
    <w:rsid w:val="000D4119"/>
    <w:rsid w:val="000D78BF"/>
    <w:rsid w:val="000E452E"/>
    <w:rsid w:val="000F1884"/>
    <w:rsid w:val="000F6025"/>
    <w:rsid w:val="000F7BE2"/>
    <w:rsid w:val="000F7F63"/>
    <w:rsid w:val="00107B3F"/>
    <w:rsid w:val="00110E21"/>
    <w:rsid w:val="00112057"/>
    <w:rsid w:val="001128C7"/>
    <w:rsid w:val="001211AA"/>
    <w:rsid w:val="00121F79"/>
    <w:rsid w:val="00126655"/>
    <w:rsid w:val="001319C7"/>
    <w:rsid w:val="00132F64"/>
    <w:rsid w:val="00140534"/>
    <w:rsid w:val="00141825"/>
    <w:rsid w:val="00143B5C"/>
    <w:rsid w:val="00143EF8"/>
    <w:rsid w:val="001449B4"/>
    <w:rsid w:val="00145B4B"/>
    <w:rsid w:val="0015440D"/>
    <w:rsid w:val="00154E50"/>
    <w:rsid w:val="0015712B"/>
    <w:rsid w:val="0015739C"/>
    <w:rsid w:val="0016025B"/>
    <w:rsid w:val="0016118F"/>
    <w:rsid w:val="00161238"/>
    <w:rsid w:val="001619E3"/>
    <w:rsid w:val="0016300C"/>
    <w:rsid w:val="00164E76"/>
    <w:rsid w:val="0017455C"/>
    <w:rsid w:val="00174E81"/>
    <w:rsid w:val="00177136"/>
    <w:rsid w:val="00177F16"/>
    <w:rsid w:val="0018228F"/>
    <w:rsid w:val="00183F14"/>
    <w:rsid w:val="001868CA"/>
    <w:rsid w:val="001902A6"/>
    <w:rsid w:val="00190E01"/>
    <w:rsid w:val="00195583"/>
    <w:rsid w:val="00196C6A"/>
    <w:rsid w:val="00197982"/>
    <w:rsid w:val="001A257E"/>
    <w:rsid w:val="001A2D20"/>
    <w:rsid w:val="001A3875"/>
    <w:rsid w:val="001A4B2C"/>
    <w:rsid w:val="001A5D3B"/>
    <w:rsid w:val="001A6563"/>
    <w:rsid w:val="001B05A3"/>
    <w:rsid w:val="001B4B73"/>
    <w:rsid w:val="001B4F56"/>
    <w:rsid w:val="001B5252"/>
    <w:rsid w:val="001B6E79"/>
    <w:rsid w:val="001C47B1"/>
    <w:rsid w:val="001C4DBE"/>
    <w:rsid w:val="001C636B"/>
    <w:rsid w:val="001D1300"/>
    <w:rsid w:val="001D30B2"/>
    <w:rsid w:val="001D6813"/>
    <w:rsid w:val="001D6AF4"/>
    <w:rsid w:val="001D6D2F"/>
    <w:rsid w:val="001E2272"/>
    <w:rsid w:val="001E66CE"/>
    <w:rsid w:val="001E6A79"/>
    <w:rsid w:val="001E73EF"/>
    <w:rsid w:val="001F000B"/>
    <w:rsid w:val="001F2515"/>
    <w:rsid w:val="001F4C47"/>
    <w:rsid w:val="001F538D"/>
    <w:rsid w:val="0020643F"/>
    <w:rsid w:val="00213060"/>
    <w:rsid w:val="002135EB"/>
    <w:rsid w:val="00215270"/>
    <w:rsid w:val="00220C88"/>
    <w:rsid w:val="00222366"/>
    <w:rsid w:val="002243BA"/>
    <w:rsid w:val="00226165"/>
    <w:rsid w:val="0022656F"/>
    <w:rsid w:val="00231B90"/>
    <w:rsid w:val="00235B00"/>
    <w:rsid w:val="0023766D"/>
    <w:rsid w:val="002542F3"/>
    <w:rsid w:val="00255D41"/>
    <w:rsid w:val="00255FAC"/>
    <w:rsid w:val="00256D14"/>
    <w:rsid w:val="00257BE3"/>
    <w:rsid w:val="0026017E"/>
    <w:rsid w:val="00263737"/>
    <w:rsid w:val="00264DE1"/>
    <w:rsid w:val="002653C5"/>
    <w:rsid w:val="0026551F"/>
    <w:rsid w:val="0027138E"/>
    <w:rsid w:val="002728FB"/>
    <w:rsid w:val="0027498A"/>
    <w:rsid w:val="00276501"/>
    <w:rsid w:val="00284970"/>
    <w:rsid w:val="002875B0"/>
    <w:rsid w:val="0029223D"/>
    <w:rsid w:val="00292EE8"/>
    <w:rsid w:val="002935CD"/>
    <w:rsid w:val="00293798"/>
    <w:rsid w:val="00297413"/>
    <w:rsid w:val="002A0FBD"/>
    <w:rsid w:val="002A19C2"/>
    <w:rsid w:val="002A3CA1"/>
    <w:rsid w:val="002A790E"/>
    <w:rsid w:val="002B189C"/>
    <w:rsid w:val="002B69E6"/>
    <w:rsid w:val="002C33B9"/>
    <w:rsid w:val="002C4427"/>
    <w:rsid w:val="002D2172"/>
    <w:rsid w:val="002E1A0E"/>
    <w:rsid w:val="002F0013"/>
    <w:rsid w:val="002F1E1D"/>
    <w:rsid w:val="002F602D"/>
    <w:rsid w:val="002F6030"/>
    <w:rsid w:val="002F693D"/>
    <w:rsid w:val="002F797D"/>
    <w:rsid w:val="00301245"/>
    <w:rsid w:val="00301D65"/>
    <w:rsid w:val="00302D0E"/>
    <w:rsid w:val="003053D1"/>
    <w:rsid w:val="00306525"/>
    <w:rsid w:val="003148E6"/>
    <w:rsid w:val="0031507A"/>
    <w:rsid w:val="00315983"/>
    <w:rsid w:val="003172E5"/>
    <w:rsid w:val="00322134"/>
    <w:rsid w:val="0032254F"/>
    <w:rsid w:val="00326B4C"/>
    <w:rsid w:val="00332865"/>
    <w:rsid w:val="00336FF1"/>
    <w:rsid w:val="003418E6"/>
    <w:rsid w:val="00341943"/>
    <w:rsid w:val="003430EE"/>
    <w:rsid w:val="003435D8"/>
    <w:rsid w:val="003450D7"/>
    <w:rsid w:val="00351758"/>
    <w:rsid w:val="00352BBD"/>
    <w:rsid w:val="00354E46"/>
    <w:rsid w:val="00354FAD"/>
    <w:rsid w:val="00356BE7"/>
    <w:rsid w:val="003606C4"/>
    <w:rsid w:val="00365812"/>
    <w:rsid w:val="00366617"/>
    <w:rsid w:val="0036694C"/>
    <w:rsid w:val="00366F4A"/>
    <w:rsid w:val="0036786C"/>
    <w:rsid w:val="00367A43"/>
    <w:rsid w:val="00367BBE"/>
    <w:rsid w:val="00381523"/>
    <w:rsid w:val="0038488E"/>
    <w:rsid w:val="00384B15"/>
    <w:rsid w:val="00385DED"/>
    <w:rsid w:val="00386CBB"/>
    <w:rsid w:val="0039268A"/>
    <w:rsid w:val="003939D7"/>
    <w:rsid w:val="00393FB9"/>
    <w:rsid w:val="00395846"/>
    <w:rsid w:val="003A0C2C"/>
    <w:rsid w:val="003A3F0B"/>
    <w:rsid w:val="003A44B4"/>
    <w:rsid w:val="003A6698"/>
    <w:rsid w:val="003B4A05"/>
    <w:rsid w:val="003B787D"/>
    <w:rsid w:val="003B7ED2"/>
    <w:rsid w:val="003C310E"/>
    <w:rsid w:val="003C37BA"/>
    <w:rsid w:val="003C4460"/>
    <w:rsid w:val="003D1D49"/>
    <w:rsid w:val="003D5669"/>
    <w:rsid w:val="003E3ACE"/>
    <w:rsid w:val="003E549D"/>
    <w:rsid w:val="003E6822"/>
    <w:rsid w:val="003F2633"/>
    <w:rsid w:val="003F3F85"/>
    <w:rsid w:val="003F7E65"/>
    <w:rsid w:val="00401635"/>
    <w:rsid w:val="004026B5"/>
    <w:rsid w:val="00402C09"/>
    <w:rsid w:val="00403D1D"/>
    <w:rsid w:val="00420F73"/>
    <w:rsid w:val="00421294"/>
    <w:rsid w:val="0042136C"/>
    <w:rsid w:val="004219FB"/>
    <w:rsid w:val="0042467F"/>
    <w:rsid w:val="00425A42"/>
    <w:rsid w:val="00425BFB"/>
    <w:rsid w:val="004272A8"/>
    <w:rsid w:val="004351EA"/>
    <w:rsid w:val="00441A8F"/>
    <w:rsid w:val="00441C43"/>
    <w:rsid w:val="00445552"/>
    <w:rsid w:val="00445F20"/>
    <w:rsid w:val="00446696"/>
    <w:rsid w:val="004469F5"/>
    <w:rsid w:val="0045370A"/>
    <w:rsid w:val="0046000A"/>
    <w:rsid w:val="00462717"/>
    <w:rsid w:val="00466C0D"/>
    <w:rsid w:val="0046766B"/>
    <w:rsid w:val="00473857"/>
    <w:rsid w:val="00476DE3"/>
    <w:rsid w:val="00477E99"/>
    <w:rsid w:val="00481233"/>
    <w:rsid w:val="0048170A"/>
    <w:rsid w:val="00481E9E"/>
    <w:rsid w:val="00486AC5"/>
    <w:rsid w:val="00490BF6"/>
    <w:rsid w:val="00495A8B"/>
    <w:rsid w:val="004960B7"/>
    <w:rsid w:val="004A08DE"/>
    <w:rsid w:val="004A6734"/>
    <w:rsid w:val="004B13AD"/>
    <w:rsid w:val="004B15F6"/>
    <w:rsid w:val="004C0A1A"/>
    <w:rsid w:val="004C0D9F"/>
    <w:rsid w:val="004C2E0E"/>
    <w:rsid w:val="004C2E5C"/>
    <w:rsid w:val="004C6D6F"/>
    <w:rsid w:val="004D0F0B"/>
    <w:rsid w:val="004D347A"/>
    <w:rsid w:val="004D39D5"/>
    <w:rsid w:val="004D4FA8"/>
    <w:rsid w:val="004D53E9"/>
    <w:rsid w:val="004D72BE"/>
    <w:rsid w:val="004D767E"/>
    <w:rsid w:val="004F29BB"/>
    <w:rsid w:val="004F51F3"/>
    <w:rsid w:val="0050238D"/>
    <w:rsid w:val="00502A70"/>
    <w:rsid w:val="005030B3"/>
    <w:rsid w:val="00507858"/>
    <w:rsid w:val="00507D07"/>
    <w:rsid w:val="0051082A"/>
    <w:rsid w:val="005154FC"/>
    <w:rsid w:val="00517037"/>
    <w:rsid w:val="005213C2"/>
    <w:rsid w:val="00523E56"/>
    <w:rsid w:val="00527833"/>
    <w:rsid w:val="00527953"/>
    <w:rsid w:val="005308C9"/>
    <w:rsid w:val="0053209D"/>
    <w:rsid w:val="00534578"/>
    <w:rsid w:val="005368A2"/>
    <w:rsid w:val="0054078C"/>
    <w:rsid w:val="00545F9A"/>
    <w:rsid w:val="00546D41"/>
    <w:rsid w:val="0054776C"/>
    <w:rsid w:val="00550924"/>
    <w:rsid w:val="00562973"/>
    <w:rsid w:val="00564129"/>
    <w:rsid w:val="00564D65"/>
    <w:rsid w:val="00565707"/>
    <w:rsid w:val="00573FC6"/>
    <w:rsid w:val="00575D7D"/>
    <w:rsid w:val="005769C5"/>
    <w:rsid w:val="005769E8"/>
    <w:rsid w:val="005772B2"/>
    <w:rsid w:val="00580BE4"/>
    <w:rsid w:val="00581CF5"/>
    <w:rsid w:val="005869F5"/>
    <w:rsid w:val="00594A4A"/>
    <w:rsid w:val="0059751A"/>
    <w:rsid w:val="005A1F53"/>
    <w:rsid w:val="005A6685"/>
    <w:rsid w:val="005A77CE"/>
    <w:rsid w:val="005B065F"/>
    <w:rsid w:val="005B1575"/>
    <w:rsid w:val="005B31EC"/>
    <w:rsid w:val="005B32A3"/>
    <w:rsid w:val="005C086D"/>
    <w:rsid w:val="005C40EC"/>
    <w:rsid w:val="005C4240"/>
    <w:rsid w:val="005C432E"/>
    <w:rsid w:val="005C5725"/>
    <w:rsid w:val="005C5B15"/>
    <w:rsid w:val="005D6C34"/>
    <w:rsid w:val="005D6F32"/>
    <w:rsid w:val="005D70E3"/>
    <w:rsid w:val="005E1B71"/>
    <w:rsid w:val="005F0675"/>
    <w:rsid w:val="005F189D"/>
    <w:rsid w:val="005F1A90"/>
    <w:rsid w:val="005F1D00"/>
    <w:rsid w:val="005F252B"/>
    <w:rsid w:val="005F2EDB"/>
    <w:rsid w:val="005F31DC"/>
    <w:rsid w:val="005F43E8"/>
    <w:rsid w:val="005F5FCF"/>
    <w:rsid w:val="005F621C"/>
    <w:rsid w:val="006011BD"/>
    <w:rsid w:val="00607318"/>
    <w:rsid w:val="0060739F"/>
    <w:rsid w:val="006075B6"/>
    <w:rsid w:val="00607A91"/>
    <w:rsid w:val="00610F64"/>
    <w:rsid w:val="00611E07"/>
    <w:rsid w:val="00613830"/>
    <w:rsid w:val="00617626"/>
    <w:rsid w:val="006209DC"/>
    <w:rsid w:val="00621B69"/>
    <w:rsid w:val="00622A01"/>
    <w:rsid w:val="006238D0"/>
    <w:rsid w:val="006261EB"/>
    <w:rsid w:val="006379FA"/>
    <w:rsid w:val="00641174"/>
    <w:rsid w:val="006529BF"/>
    <w:rsid w:val="00652F19"/>
    <w:rsid w:val="00656007"/>
    <w:rsid w:val="00660600"/>
    <w:rsid w:val="00665335"/>
    <w:rsid w:val="00671A02"/>
    <w:rsid w:val="00672224"/>
    <w:rsid w:val="00674C3F"/>
    <w:rsid w:val="00681765"/>
    <w:rsid w:val="00681F7F"/>
    <w:rsid w:val="00690D3E"/>
    <w:rsid w:val="00693377"/>
    <w:rsid w:val="006974AF"/>
    <w:rsid w:val="00697A2F"/>
    <w:rsid w:val="006A26A0"/>
    <w:rsid w:val="006A6E9A"/>
    <w:rsid w:val="006B45DD"/>
    <w:rsid w:val="006B79B0"/>
    <w:rsid w:val="006B7EC4"/>
    <w:rsid w:val="006C24E3"/>
    <w:rsid w:val="006D015C"/>
    <w:rsid w:val="006D2FEC"/>
    <w:rsid w:val="006E0C4A"/>
    <w:rsid w:val="006E15DE"/>
    <w:rsid w:val="006E2AB6"/>
    <w:rsid w:val="006E6323"/>
    <w:rsid w:val="006E6488"/>
    <w:rsid w:val="006F3CC4"/>
    <w:rsid w:val="006F67FD"/>
    <w:rsid w:val="006F6EF3"/>
    <w:rsid w:val="00701396"/>
    <w:rsid w:val="0070366A"/>
    <w:rsid w:val="00710C64"/>
    <w:rsid w:val="00711559"/>
    <w:rsid w:val="00711773"/>
    <w:rsid w:val="00711D85"/>
    <w:rsid w:val="00714BF3"/>
    <w:rsid w:val="00715966"/>
    <w:rsid w:val="007159EB"/>
    <w:rsid w:val="00715AA6"/>
    <w:rsid w:val="00723BF1"/>
    <w:rsid w:val="00730AD0"/>
    <w:rsid w:val="00731F94"/>
    <w:rsid w:val="00732D8D"/>
    <w:rsid w:val="00734241"/>
    <w:rsid w:val="007416A1"/>
    <w:rsid w:val="00743698"/>
    <w:rsid w:val="007466BB"/>
    <w:rsid w:val="00751550"/>
    <w:rsid w:val="0075555E"/>
    <w:rsid w:val="00760A2A"/>
    <w:rsid w:val="00760F4A"/>
    <w:rsid w:val="00766C04"/>
    <w:rsid w:val="0076792B"/>
    <w:rsid w:val="00771C2B"/>
    <w:rsid w:val="00771D86"/>
    <w:rsid w:val="007817F1"/>
    <w:rsid w:val="00783B5F"/>
    <w:rsid w:val="0079058E"/>
    <w:rsid w:val="0079134B"/>
    <w:rsid w:val="00791FF4"/>
    <w:rsid w:val="00794C3A"/>
    <w:rsid w:val="007A255E"/>
    <w:rsid w:val="007A51E3"/>
    <w:rsid w:val="007B0ECB"/>
    <w:rsid w:val="007B3BFB"/>
    <w:rsid w:val="007B4136"/>
    <w:rsid w:val="007B6BDA"/>
    <w:rsid w:val="007C096B"/>
    <w:rsid w:val="007C1928"/>
    <w:rsid w:val="007C22A3"/>
    <w:rsid w:val="007C51C6"/>
    <w:rsid w:val="007D2D41"/>
    <w:rsid w:val="007D2E4A"/>
    <w:rsid w:val="007D42FF"/>
    <w:rsid w:val="007D6EBB"/>
    <w:rsid w:val="007E4FB1"/>
    <w:rsid w:val="007F58A8"/>
    <w:rsid w:val="007F6BD1"/>
    <w:rsid w:val="0080148D"/>
    <w:rsid w:val="0080592C"/>
    <w:rsid w:val="00806212"/>
    <w:rsid w:val="00806EBE"/>
    <w:rsid w:val="00810F53"/>
    <w:rsid w:val="0081108D"/>
    <w:rsid w:val="00812FED"/>
    <w:rsid w:val="00813390"/>
    <w:rsid w:val="00813E13"/>
    <w:rsid w:val="0081625F"/>
    <w:rsid w:val="00820149"/>
    <w:rsid w:val="008321D7"/>
    <w:rsid w:val="0083643F"/>
    <w:rsid w:val="00837ABD"/>
    <w:rsid w:val="00837B2D"/>
    <w:rsid w:val="008402F5"/>
    <w:rsid w:val="008408DA"/>
    <w:rsid w:val="00840A5F"/>
    <w:rsid w:val="008411BA"/>
    <w:rsid w:val="00843234"/>
    <w:rsid w:val="00843CA1"/>
    <w:rsid w:val="00844E0C"/>
    <w:rsid w:val="008466A6"/>
    <w:rsid w:val="00847A50"/>
    <w:rsid w:val="008568FE"/>
    <w:rsid w:val="00863668"/>
    <w:rsid w:val="008664BD"/>
    <w:rsid w:val="008669FA"/>
    <w:rsid w:val="0087139E"/>
    <w:rsid w:val="00872D48"/>
    <w:rsid w:val="008822A6"/>
    <w:rsid w:val="008855A5"/>
    <w:rsid w:val="00885EE8"/>
    <w:rsid w:val="00886E2C"/>
    <w:rsid w:val="00892B8E"/>
    <w:rsid w:val="00893902"/>
    <w:rsid w:val="00894F56"/>
    <w:rsid w:val="008A17F6"/>
    <w:rsid w:val="008A3490"/>
    <w:rsid w:val="008A59FF"/>
    <w:rsid w:val="008A60D4"/>
    <w:rsid w:val="008B15FA"/>
    <w:rsid w:val="008B375C"/>
    <w:rsid w:val="008B3E52"/>
    <w:rsid w:val="008C0636"/>
    <w:rsid w:val="008C222F"/>
    <w:rsid w:val="008C7013"/>
    <w:rsid w:val="008D0C0E"/>
    <w:rsid w:val="008D5859"/>
    <w:rsid w:val="008D7B8D"/>
    <w:rsid w:val="008E002E"/>
    <w:rsid w:val="008F1843"/>
    <w:rsid w:val="008F3106"/>
    <w:rsid w:val="008F4571"/>
    <w:rsid w:val="008F5018"/>
    <w:rsid w:val="008F655C"/>
    <w:rsid w:val="00901411"/>
    <w:rsid w:val="00902785"/>
    <w:rsid w:val="0090503E"/>
    <w:rsid w:val="00905391"/>
    <w:rsid w:val="00923788"/>
    <w:rsid w:val="00924FF4"/>
    <w:rsid w:val="0092545E"/>
    <w:rsid w:val="00927D80"/>
    <w:rsid w:val="009306D7"/>
    <w:rsid w:val="0093450D"/>
    <w:rsid w:val="00955667"/>
    <w:rsid w:val="00956054"/>
    <w:rsid w:val="00956B9F"/>
    <w:rsid w:val="00957ADA"/>
    <w:rsid w:val="00957B3C"/>
    <w:rsid w:val="00966AEB"/>
    <w:rsid w:val="0096710C"/>
    <w:rsid w:val="009678A4"/>
    <w:rsid w:val="00971D97"/>
    <w:rsid w:val="00976C0D"/>
    <w:rsid w:val="0097753B"/>
    <w:rsid w:val="00987F66"/>
    <w:rsid w:val="00991BB9"/>
    <w:rsid w:val="00992DE3"/>
    <w:rsid w:val="009943AA"/>
    <w:rsid w:val="00994D11"/>
    <w:rsid w:val="009A0202"/>
    <w:rsid w:val="009A4491"/>
    <w:rsid w:val="009B28E7"/>
    <w:rsid w:val="009B2D4B"/>
    <w:rsid w:val="009B3F55"/>
    <w:rsid w:val="009B5852"/>
    <w:rsid w:val="009C2916"/>
    <w:rsid w:val="009C2F4A"/>
    <w:rsid w:val="009C4992"/>
    <w:rsid w:val="009C5186"/>
    <w:rsid w:val="009D1436"/>
    <w:rsid w:val="009D1ECD"/>
    <w:rsid w:val="009D2939"/>
    <w:rsid w:val="009D4499"/>
    <w:rsid w:val="009E0C69"/>
    <w:rsid w:val="009E46AA"/>
    <w:rsid w:val="009E7E29"/>
    <w:rsid w:val="009F2D4E"/>
    <w:rsid w:val="00A040D4"/>
    <w:rsid w:val="00A04D1E"/>
    <w:rsid w:val="00A05941"/>
    <w:rsid w:val="00A070D2"/>
    <w:rsid w:val="00A10D43"/>
    <w:rsid w:val="00A10F51"/>
    <w:rsid w:val="00A1220A"/>
    <w:rsid w:val="00A12DDD"/>
    <w:rsid w:val="00A15483"/>
    <w:rsid w:val="00A15CC6"/>
    <w:rsid w:val="00A17B76"/>
    <w:rsid w:val="00A21597"/>
    <w:rsid w:val="00A30433"/>
    <w:rsid w:val="00A315E7"/>
    <w:rsid w:val="00A35174"/>
    <w:rsid w:val="00A41FF3"/>
    <w:rsid w:val="00A42231"/>
    <w:rsid w:val="00A43D03"/>
    <w:rsid w:val="00A50CA5"/>
    <w:rsid w:val="00A52CD1"/>
    <w:rsid w:val="00A52FE8"/>
    <w:rsid w:val="00A566C7"/>
    <w:rsid w:val="00A56C81"/>
    <w:rsid w:val="00A60633"/>
    <w:rsid w:val="00A60C78"/>
    <w:rsid w:val="00A64FC8"/>
    <w:rsid w:val="00A65AF3"/>
    <w:rsid w:val="00A67A82"/>
    <w:rsid w:val="00A71D3F"/>
    <w:rsid w:val="00A72618"/>
    <w:rsid w:val="00A73649"/>
    <w:rsid w:val="00A76272"/>
    <w:rsid w:val="00A81C33"/>
    <w:rsid w:val="00A849A5"/>
    <w:rsid w:val="00A8543C"/>
    <w:rsid w:val="00A87B4A"/>
    <w:rsid w:val="00A901FB"/>
    <w:rsid w:val="00A92EA4"/>
    <w:rsid w:val="00A93352"/>
    <w:rsid w:val="00AA0919"/>
    <w:rsid w:val="00AA4A50"/>
    <w:rsid w:val="00AA667C"/>
    <w:rsid w:val="00AB013F"/>
    <w:rsid w:val="00AB1007"/>
    <w:rsid w:val="00AB46E1"/>
    <w:rsid w:val="00AC5371"/>
    <w:rsid w:val="00AC5A29"/>
    <w:rsid w:val="00AC6D97"/>
    <w:rsid w:val="00AC73A6"/>
    <w:rsid w:val="00AD080D"/>
    <w:rsid w:val="00AD3C2E"/>
    <w:rsid w:val="00AD4112"/>
    <w:rsid w:val="00AD6412"/>
    <w:rsid w:val="00AD7DC4"/>
    <w:rsid w:val="00AE0C9B"/>
    <w:rsid w:val="00AE0ED8"/>
    <w:rsid w:val="00AE23AF"/>
    <w:rsid w:val="00AE41D1"/>
    <w:rsid w:val="00AE6924"/>
    <w:rsid w:val="00AE6CF4"/>
    <w:rsid w:val="00AE7B10"/>
    <w:rsid w:val="00AF2D9D"/>
    <w:rsid w:val="00AF39A9"/>
    <w:rsid w:val="00AF5BF0"/>
    <w:rsid w:val="00AF5E05"/>
    <w:rsid w:val="00B0043F"/>
    <w:rsid w:val="00B009B1"/>
    <w:rsid w:val="00B033FA"/>
    <w:rsid w:val="00B151C7"/>
    <w:rsid w:val="00B176E9"/>
    <w:rsid w:val="00B178EB"/>
    <w:rsid w:val="00B238E1"/>
    <w:rsid w:val="00B26F81"/>
    <w:rsid w:val="00B32CD0"/>
    <w:rsid w:val="00B3343B"/>
    <w:rsid w:val="00B33A1A"/>
    <w:rsid w:val="00B34730"/>
    <w:rsid w:val="00B37942"/>
    <w:rsid w:val="00B4155C"/>
    <w:rsid w:val="00B42FE5"/>
    <w:rsid w:val="00B465ED"/>
    <w:rsid w:val="00B542F9"/>
    <w:rsid w:val="00B54A51"/>
    <w:rsid w:val="00B62AE7"/>
    <w:rsid w:val="00B66C18"/>
    <w:rsid w:val="00B673FE"/>
    <w:rsid w:val="00B86B16"/>
    <w:rsid w:val="00B93423"/>
    <w:rsid w:val="00B93F48"/>
    <w:rsid w:val="00B9549F"/>
    <w:rsid w:val="00B96F6F"/>
    <w:rsid w:val="00B97369"/>
    <w:rsid w:val="00BA2F20"/>
    <w:rsid w:val="00BA78BB"/>
    <w:rsid w:val="00BB39DE"/>
    <w:rsid w:val="00BC0CBC"/>
    <w:rsid w:val="00BC3D31"/>
    <w:rsid w:val="00BC50CF"/>
    <w:rsid w:val="00BC74E2"/>
    <w:rsid w:val="00BC7CB7"/>
    <w:rsid w:val="00BD5618"/>
    <w:rsid w:val="00BD7E84"/>
    <w:rsid w:val="00BE0919"/>
    <w:rsid w:val="00BE5C60"/>
    <w:rsid w:val="00BE7A18"/>
    <w:rsid w:val="00BF37DB"/>
    <w:rsid w:val="00BF52A8"/>
    <w:rsid w:val="00BF550E"/>
    <w:rsid w:val="00C00F3F"/>
    <w:rsid w:val="00C00FCD"/>
    <w:rsid w:val="00C01CBC"/>
    <w:rsid w:val="00C03FCD"/>
    <w:rsid w:val="00C043EC"/>
    <w:rsid w:val="00C05891"/>
    <w:rsid w:val="00C06ACF"/>
    <w:rsid w:val="00C078D4"/>
    <w:rsid w:val="00C13D51"/>
    <w:rsid w:val="00C13FE9"/>
    <w:rsid w:val="00C16E0F"/>
    <w:rsid w:val="00C17334"/>
    <w:rsid w:val="00C22C2A"/>
    <w:rsid w:val="00C22F46"/>
    <w:rsid w:val="00C23E6C"/>
    <w:rsid w:val="00C2438C"/>
    <w:rsid w:val="00C263B0"/>
    <w:rsid w:val="00C3578E"/>
    <w:rsid w:val="00C444AB"/>
    <w:rsid w:val="00C45ED9"/>
    <w:rsid w:val="00C50A6F"/>
    <w:rsid w:val="00C51D5C"/>
    <w:rsid w:val="00C5254E"/>
    <w:rsid w:val="00C541D4"/>
    <w:rsid w:val="00C54A6B"/>
    <w:rsid w:val="00C552F4"/>
    <w:rsid w:val="00C553BE"/>
    <w:rsid w:val="00C5721B"/>
    <w:rsid w:val="00C62B3E"/>
    <w:rsid w:val="00C634D6"/>
    <w:rsid w:val="00C64588"/>
    <w:rsid w:val="00C7742B"/>
    <w:rsid w:val="00C81104"/>
    <w:rsid w:val="00C81322"/>
    <w:rsid w:val="00C8138E"/>
    <w:rsid w:val="00C82897"/>
    <w:rsid w:val="00C83A45"/>
    <w:rsid w:val="00C846B9"/>
    <w:rsid w:val="00C87038"/>
    <w:rsid w:val="00C9135A"/>
    <w:rsid w:val="00C933B6"/>
    <w:rsid w:val="00C94FDC"/>
    <w:rsid w:val="00CA0EED"/>
    <w:rsid w:val="00CA29AA"/>
    <w:rsid w:val="00CA366E"/>
    <w:rsid w:val="00CA4DAA"/>
    <w:rsid w:val="00CB0124"/>
    <w:rsid w:val="00CB082D"/>
    <w:rsid w:val="00CB2959"/>
    <w:rsid w:val="00CB3079"/>
    <w:rsid w:val="00CB4FE7"/>
    <w:rsid w:val="00CB5073"/>
    <w:rsid w:val="00CC417A"/>
    <w:rsid w:val="00CC4DF2"/>
    <w:rsid w:val="00CC5CBF"/>
    <w:rsid w:val="00CC7F84"/>
    <w:rsid w:val="00CD25B3"/>
    <w:rsid w:val="00CD35D0"/>
    <w:rsid w:val="00CD3C46"/>
    <w:rsid w:val="00CD4103"/>
    <w:rsid w:val="00CE0670"/>
    <w:rsid w:val="00CE0C60"/>
    <w:rsid w:val="00CE18D0"/>
    <w:rsid w:val="00CE3EB1"/>
    <w:rsid w:val="00CE668D"/>
    <w:rsid w:val="00CF0D39"/>
    <w:rsid w:val="00CF3119"/>
    <w:rsid w:val="00CF5C02"/>
    <w:rsid w:val="00CF65F2"/>
    <w:rsid w:val="00CF6CBC"/>
    <w:rsid w:val="00CF7947"/>
    <w:rsid w:val="00D00002"/>
    <w:rsid w:val="00D02ECB"/>
    <w:rsid w:val="00D036FD"/>
    <w:rsid w:val="00D03A0B"/>
    <w:rsid w:val="00D03BA7"/>
    <w:rsid w:val="00D03E72"/>
    <w:rsid w:val="00D0453F"/>
    <w:rsid w:val="00D06706"/>
    <w:rsid w:val="00D078C4"/>
    <w:rsid w:val="00D1101E"/>
    <w:rsid w:val="00D14BD9"/>
    <w:rsid w:val="00D1515C"/>
    <w:rsid w:val="00D168EB"/>
    <w:rsid w:val="00D16FF8"/>
    <w:rsid w:val="00D266DB"/>
    <w:rsid w:val="00D3614B"/>
    <w:rsid w:val="00D36A17"/>
    <w:rsid w:val="00D37BF3"/>
    <w:rsid w:val="00D4289E"/>
    <w:rsid w:val="00D4390E"/>
    <w:rsid w:val="00D505D2"/>
    <w:rsid w:val="00D52C2F"/>
    <w:rsid w:val="00D540E2"/>
    <w:rsid w:val="00D54DEB"/>
    <w:rsid w:val="00D613E1"/>
    <w:rsid w:val="00D61F53"/>
    <w:rsid w:val="00D62F1F"/>
    <w:rsid w:val="00D638D6"/>
    <w:rsid w:val="00D64ECD"/>
    <w:rsid w:val="00D72F9A"/>
    <w:rsid w:val="00D73A98"/>
    <w:rsid w:val="00D75078"/>
    <w:rsid w:val="00D77B2C"/>
    <w:rsid w:val="00D81593"/>
    <w:rsid w:val="00D8472E"/>
    <w:rsid w:val="00D84BFA"/>
    <w:rsid w:val="00D90186"/>
    <w:rsid w:val="00D910FE"/>
    <w:rsid w:val="00D9149C"/>
    <w:rsid w:val="00D9350C"/>
    <w:rsid w:val="00D93C2E"/>
    <w:rsid w:val="00D942E9"/>
    <w:rsid w:val="00D94D4B"/>
    <w:rsid w:val="00D96DD9"/>
    <w:rsid w:val="00DA3A88"/>
    <w:rsid w:val="00DA5162"/>
    <w:rsid w:val="00DA6484"/>
    <w:rsid w:val="00DB25A3"/>
    <w:rsid w:val="00DB3142"/>
    <w:rsid w:val="00DB5ED5"/>
    <w:rsid w:val="00DB7655"/>
    <w:rsid w:val="00DC0AB3"/>
    <w:rsid w:val="00DC1C0D"/>
    <w:rsid w:val="00DD1712"/>
    <w:rsid w:val="00DD47AF"/>
    <w:rsid w:val="00DD7029"/>
    <w:rsid w:val="00DD7E29"/>
    <w:rsid w:val="00DE0BB3"/>
    <w:rsid w:val="00DE35ED"/>
    <w:rsid w:val="00DE56C4"/>
    <w:rsid w:val="00DE6F0E"/>
    <w:rsid w:val="00DE7945"/>
    <w:rsid w:val="00DE7C4B"/>
    <w:rsid w:val="00DE7CE1"/>
    <w:rsid w:val="00DF26EE"/>
    <w:rsid w:val="00DF4E45"/>
    <w:rsid w:val="00DF7E5B"/>
    <w:rsid w:val="00E00666"/>
    <w:rsid w:val="00E05425"/>
    <w:rsid w:val="00E07ACA"/>
    <w:rsid w:val="00E107B3"/>
    <w:rsid w:val="00E10F3E"/>
    <w:rsid w:val="00E12DBA"/>
    <w:rsid w:val="00E16EA9"/>
    <w:rsid w:val="00E16FA9"/>
    <w:rsid w:val="00E17E06"/>
    <w:rsid w:val="00E209ED"/>
    <w:rsid w:val="00E21AE2"/>
    <w:rsid w:val="00E23698"/>
    <w:rsid w:val="00E26C80"/>
    <w:rsid w:val="00E337C5"/>
    <w:rsid w:val="00E34385"/>
    <w:rsid w:val="00E357F9"/>
    <w:rsid w:val="00E3783E"/>
    <w:rsid w:val="00E41DCD"/>
    <w:rsid w:val="00E426F5"/>
    <w:rsid w:val="00E43274"/>
    <w:rsid w:val="00E43DE7"/>
    <w:rsid w:val="00E46CFD"/>
    <w:rsid w:val="00E474A0"/>
    <w:rsid w:val="00E53A3F"/>
    <w:rsid w:val="00E632C4"/>
    <w:rsid w:val="00E632DE"/>
    <w:rsid w:val="00E640D7"/>
    <w:rsid w:val="00E70DB4"/>
    <w:rsid w:val="00E75B59"/>
    <w:rsid w:val="00E75C75"/>
    <w:rsid w:val="00E817D4"/>
    <w:rsid w:val="00E82616"/>
    <w:rsid w:val="00E83762"/>
    <w:rsid w:val="00E86555"/>
    <w:rsid w:val="00E916DE"/>
    <w:rsid w:val="00E9200A"/>
    <w:rsid w:val="00E92B7A"/>
    <w:rsid w:val="00EA453D"/>
    <w:rsid w:val="00EA6D67"/>
    <w:rsid w:val="00EB105E"/>
    <w:rsid w:val="00EB1492"/>
    <w:rsid w:val="00EB214E"/>
    <w:rsid w:val="00EB219F"/>
    <w:rsid w:val="00EB327B"/>
    <w:rsid w:val="00EB6EAB"/>
    <w:rsid w:val="00EC01D9"/>
    <w:rsid w:val="00EC1A8A"/>
    <w:rsid w:val="00EC6CBE"/>
    <w:rsid w:val="00EC7E3F"/>
    <w:rsid w:val="00ED2616"/>
    <w:rsid w:val="00EE39CA"/>
    <w:rsid w:val="00EE6A85"/>
    <w:rsid w:val="00EF0B0D"/>
    <w:rsid w:val="00EF2EF7"/>
    <w:rsid w:val="00EF328F"/>
    <w:rsid w:val="00EF3BE0"/>
    <w:rsid w:val="00EF3BE3"/>
    <w:rsid w:val="00EF482B"/>
    <w:rsid w:val="00EF5D67"/>
    <w:rsid w:val="00EF6061"/>
    <w:rsid w:val="00F011D9"/>
    <w:rsid w:val="00F018C1"/>
    <w:rsid w:val="00F02843"/>
    <w:rsid w:val="00F043EA"/>
    <w:rsid w:val="00F06936"/>
    <w:rsid w:val="00F10FCF"/>
    <w:rsid w:val="00F1222F"/>
    <w:rsid w:val="00F22A7C"/>
    <w:rsid w:val="00F2714C"/>
    <w:rsid w:val="00F27A62"/>
    <w:rsid w:val="00F30DCC"/>
    <w:rsid w:val="00F3304C"/>
    <w:rsid w:val="00F35DE4"/>
    <w:rsid w:val="00F37604"/>
    <w:rsid w:val="00F404F7"/>
    <w:rsid w:val="00F40DAD"/>
    <w:rsid w:val="00F41D8E"/>
    <w:rsid w:val="00F437B5"/>
    <w:rsid w:val="00F463FA"/>
    <w:rsid w:val="00F50BEC"/>
    <w:rsid w:val="00F510B8"/>
    <w:rsid w:val="00F51F82"/>
    <w:rsid w:val="00F638D0"/>
    <w:rsid w:val="00F63FF7"/>
    <w:rsid w:val="00F64190"/>
    <w:rsid w:val="00F65FB4"/>
    <w:rsid w:val="00F66B60"/>
    <w:rsid w:val="00F67BB6"/>
    <w:rsid w:val="00F76177"/>
    <w:rsid w:val="00F761A0"/>
    <w:rsid w:val="00F768A6"/>
    <w:rsid w:val="00F77FF7"/>
    <w:rsid w:val="00F8051A"/>
    <w:rsid w:val="00F80D1F"/>
    <w:rsid w:val="00F80EC5"/>
    <w:rsid w:val="00F83E09"/>
    <w:rsid w:val="00F8579F"/>
    <w:rsid w:val="00F86B9E"/>
    <w:rsid w:val="00F86D98"/>
    <w:rsid w:val="00F901F9"/>
    <w:rsid w:val="00F95D68"/>
    <w:rsid w:val="00FA02CA"/>
    <w:rsid w:val="00FA19D5"/>
    <w:rsid w:val="00FA394B"/>
    <w:rsid w:val="00FB3B17"/>
    <w:rsid w:val="00FB3E95"/>
    <w:rsid w:val="00FB52CB"/>
    <w:rsid w:val="00FB7FDC"/>
    <w:rsid w:val="00FC3AAD"/>
    <w:rsid w:val="00FC5D99"/>
    <w:rsid w:val="00FC6A2E"/>
    <w:rsid w:val="00FC7EB0"/>
    <w:rsid w:val="00FD504F"/>
    <w:rsid w:val="00FD5BFA"/>
    <w:rsid w:val="00FD60FD"/>
    <w:rsid w:val="00FE18F6"/>
    <w:rsid w:val="00FE2010"/>
    <w:rsid w:val="00FE2448"/>
    <w:rsid w:val="00FE32E9"/>
    <w:rsid w:val="00FF2BB4"/>
    <w:rsid w:val="00FF7D3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7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7F9"/>
    <w:rPr>
      <w:vertAlign w:val="superscript"/>
    </w:rPr>
  </w:style>
  <w:style w:type="paragraph" w:styleId="Nagwek">
    <w:name w:val="header"/>
    <w:basedOn w:val="Normalny"/>
    <w:link w:val="NagwekZnak"/>
    <w:unhideWhenUsed/>
    <w:rsid w:val="008F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843"/>
  </w:style>
  <w:style w:type="paragraph" w:styleId="Stopka">
    <w:name w:val="footer"/>
    <w:basedOn w:val="Normalny"/>
    <w:link w:val="StopkaZnak"/>
    <w:uiPriority w:val="99"/>
    <w:unhideWhenUsed/>
    <w:rsid w:val="008F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43"/>
  </w:style>
  <w:style w:type="paragraph" w:styleId="Akapitzlist">
    <w:name w:val="List Paragraph"/>
    <w:basedOn w:val="Normalny"/>
    <w:uiPriority w:val="34"/>
    <w:qFormat/>
    <w:rsid w:val="001868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F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6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E0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B32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D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994D11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126655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26655"/>
    <w:rPr>
      <w:rFonts w:ascii="Calibri" w:hAnsi="Calibri"/>
      <w:szCs w:val="21"/>
      <w:lang w:val="en-GB"/>
    </w:rPr>
  </w:style>
  <w:style w:type="character" w:customStyle="1" w:styleId="HeaderChar1">
    <w:name w:val="Header Char1"/>
    <w:basedOn w:val="Domylnaczcionkaakapitu"/>
    <w:semiHidden/>
    <w:locked/>
    <w:rsid w:val="00B178EB"/>
    <w:rPr>
      <w:rFonts w:ascii="Calibri" w:eastAsia="Calibri" w:hAnsi="Calibri" w:cs="Times New Roman"/>
      <w:lang w:val="en-GB"/>
    </w:rPr>
  </w:style>
  <w:style w:type="character" w:styleId="Hipercze">
    <w:name w:val="Hyperlink"/>
    <w:rsid w:val="00B178E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8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AE0C9B"/>
    <w:pPr>
      <w:spacing w:after="0" w:line="240" w:lineRule="auto"/>
    </w:pPr>
  </w:style>
  <w:style w:type="paragraph" w:customStyle="1" w:styleId="Default">
    <w:name w:val="Default"/>
    <w:rsid w:val="001A5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15D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3668"/>
    <w:rPr>
      <w:color w:val="954F72" w:themeColor="followedHyperlink"/>
      <w:u w:val="single"/>
    </w:rPr>
  </w:style>
  <w:style w:type="character" w:customStyle="1" w:styleId="jlqj4b">
    <w:name w:val="jlqj4b"/>
    <w:basedOn w:val="Domylnaczcionkaakapitu"/>
    <w:rsid w:val="00366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7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7F9"/>
    <w:rPr>
      <w:vertAlign w:val="superscript"/>
    </w:rPr>
  </w:style>
  <w:style w:type="paragraph" w:styleId="Nagwek">
    <w:name w:val="header"/>
    <w:basedOn w:val="Normalny"/>
    <w:link w:val="NagwekZnak"/>
    <w:unhideWhenUsed/>
    <w:rsid w:val="008F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843"/>
  </w:style>
  <w:style w:type="paragraph" w:styleId="Stopka">
    <w:name w:val="footer"/>
    <w:basedOn w:val="Normalny"/>
    <w:link w:val="StopkaZnak"/>
    <w:uiPriority w:val="99"/>
    <w:unhideWhenUsed/>
    <w:rsid w:val="008F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43"/>
  </w:style>
  <w:style w:type="paragraph" w:styleId="Akapitzlist">
    <w:name w:val="List Paragraph"/>
    <w:basedOn w:val="Normalny"/>
    <w:uiPriority w:val="34"/>
    <w:qFormat/>
    <w:rsid w:val="001868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F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6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E0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B32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D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994D11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126655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26655"/>
    <w:rPr>
      <w:rFonts w:ascii="Calibri" w:hAnsi="Calibri"/>
      <w:szCs w:val="21"/>
      <w:lang w:val="en-GB"/>
    </w:rPr>
  </w:style>
  <w:style w:type="character" w:customStyle="1" w:styleId="HeaderChar1">
    <w:name w:val="Header Char1"/>
    <w:basedOn w:val="Domylnaczcionkaakapitu"/>
    <w:semiHidden/>
    <w:locked/>
    <w:rsid w:val="00B178EB"/>
    <w:rPr>
      <w:rFonts w:ascii="Calibri" w:eastAsia="Calibri" w:hAnsi="Calibri" w:cs="Times New Roman"/>
      <w:lang w:val="en-GB"/>
    </w:rPr>
  </w:style>
  <w:style w:type="character" w:styleId="Hipercze">
    <w:name w:val="Hyperlink"/>
    <w:rsid w:val="00B178E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8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AE0C9B"/>
    <w:pPr>
      <w:spacing w:after="0" w:line="240" w:lineRule="auto"/>
    </w:pPr>
  </w:style>
  <w:style w:type="paragraph" w:customStyle="1" w:styleId="Default">
    <w:name w:val="Default"/>
    <w:rsid w:val="001A5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15D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3668"/>
    <w:rPr>
      <w:color w:val="954F72" w:themeColor="followedHyperlink"/>
      <w:u w:val="single"/>
    </w:rPr>
  </w:style>
  <w:style w:type="character" w:customStyle="1" w:styleId="jlqj4b">
    <w:name w:val="jlqj4b"/>
    <w:basedOn w:val="Domylnaczcionkaakapitu"/>
    <w:rsid w:val="0036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ssets.publishing.service.gov.uk/government/uploads/system/uploads/attachment_data/file/948093/TCA_SUMMARY_PDF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commission/presscorner/detail/en/QANDA_20_253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info/sites/info/files/brexit_files/info_site/6_pager_fin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.europa.eu/transparency/regdoc/rep/1/2020/EN/COM-2020-857-F1-EN-ANNEX-1-PART-1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iAll-europe.eu/" TargetMode="External"/><Relationship Id="rId1" Type="http://schemas.openxmlformats.org/officeDocument/2006/relationships/hyperlink" Target="mailto:info@industriAll-euro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7223-55E8-4A62-9377-9F44AFB6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8</Pages>
  <Words>3235</Words>
  <Characters>19410</Characters>
  <Application>Microsoft Office Word</Application>
  <DocSecurity>0</DocSecurity>
  <Lines>161</Lines>
  <Paragraphs>45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MORVANNOU Philippe</dc:creator>
  <cp:lastModifiedBy>Basia</cp:lastModifiedBy>
  <cp:revision>59</cp:revision>
  <cp:lastPrinted>2019-12-04T16:07:00Z</cp:lastPrinted>
  <dcterms:created xsi:type="dcterms:W3CDTF">2021-01-06T08:41:00Z</dcterms:created>
  <dcterms:modified xsi:type="dcterms:W3CDTF">2021-01-13T08:06:00Z</dcterms:modified>
</cp:coreProperties>
</file>