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49C0A" w14:textId="77777777" w:rsidR="00ED628D" w:rsidRPr="00A132BF" w:rsidRDefault="00ED628D" w:rsidP="00B51249">
      <w:pPr>
        <w:pStyle w:val="Nagwek2"/>
        <w:spacing w:before="480"/>
        <w:rPr>
          <w:rStyle w:val="Nagwek1Znak"/>
          <w:rFonts w:ascii="Times New Roman" w:hAnsi="Times New Roman" w:cs="Times New Roman"/>
          <w:color w:val="FF0000"/>
          <w:spacing w:val="-12"/>
          <w:lang w:val="en-GB"/>
        </w:rPr>
      </w:pPr>
    </w:p>
    <w:p w14:paraId="193BBD80" w14:textId="77777777" w:rsidR="000C24D8" w:rsidRDefault="009865F3" w:rsidP="00A132BF">
      <w:pPr>
        <w:pStyle w:val="Nagwek2"/>
        <w:spacing w:before="0"/>
        <w:jc w:val="center"/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</w:pPr>
      <w:r w:rsidRPr="00A132BF"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  <w:t>Zarządzanie wpływem Brexit</w:t>
      </w:r>
      <w:r w:rsidR="00A132BF"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  <w:t xml:space="preserve"> </w:t>
      </w:r>
    </w:p>
    <w:p w14:paraId="151BD1CC" w14:textId="23E183EF" w:rsidR="00A868BF" w:rsidRPr="00A132BF" w:rsidRDefault="000C24D8" w:rsidP="00A132BF">
      <w:pPr>
        <w:pStyle w:val="Nagwek2"/>
        <w:spacing w:before="0"/>
        <w:jc w:val="center"/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</w:pPr>
      <w:r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  <w:t>w</w:t>
      </w:r>
      <w:r w:rsidR="009865F3" w:rsidRPr="00A132BF"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  <w:t xml:space="preserve"> przedsiębiorstwa</w:t>
      </w:r>
      <w:r>
        <w:rPr>
          <w:rStyle w:val="Nagwek1Znak"/>
          <w:rFonts w:ascii="Times New Roman" w:hAnsi="Times New Roman" w:cs="Times New Roman"/>
          <w:color w:val="FF0000"/>
          <w:spacing w:val="-12"/>
          <w:lang w:val="pl-PL"/>
        </w:rPr>
        <w:t>ch ponadnarodowych</w:t>
      </w:r>
    </w:p>
    <w:p w14:paraId="6D0D22C1" w14:textId="77777777" w:rsidR="00DD5D57" w:rsidRPr="00A132BF" w:rsidRDefault="00DD5D57" w:rsidP="00544445">
      <w:pPr>
        <w:pStyle w:val="Nagwek2"/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</w:pPr>
    </w:p>
    <w:p w14:paraId="1022462C" w14:textId="6E442FA3" w:rsidR="00CF031E" w:rsidRPr="00A132BF" w:rsidRDefault="007619D7" w:rsidP="00544445">
      <w:pPr>
        <w:pStyle w:val="Nagwek2"/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</w:pPr>
      <w:r w:rsidRPr="00A132BF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>Wspólne Rekom</w:t>
      </w:r>
      <w:r w:rsidR="00423041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>endacje Europejskiej Federacji Z</w:t>
      </w:r>
      <w:r w:rsidRPr="00A132BF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>wiązków Zawodowych (ETUF)</w:t>
      </w:r>
      <w:r w:rsidR="00F74420" w:rsidRPr="00A132BF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 xml:space="preserve"> </w:t>
      </w:r>
      <w:r w:rsidR="00423041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>dla k</w:t>
      </w:r>
      <w:r w:rsidRPr="00A132BF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>oordynatorów ERZ/ SE i przedstawicieli pracownikó</w:t>
      </w:r>
      <w:r w:rsidR="00ED628D" w:rsidRPr="00A132BF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>w</w:t>
      </w:r>
      <w:r w:rsidRPr="00A132BF">
        <w:rPr>
          <w:rStyle w:val="Nagwek1Znak"/>
          <w:rFonts w:ascii="Times New Roman" w:hAnsi="Times New Roman" w:cs="Times New Roman"/>
          <w:b w:val="0"/>
          <w:sz w:val="30"/>
          <w:szCs w:val="30"/>
          <w:lang w:val="pl-PL"/>
        </w:rPr>
        <w:t xml:space="preserve"> w SZN, ERZ i SE</w:t>
      </w:r>
    </w:p>
    <w:p w14:paraId="605F8CE8" w14:textId="77777777" w:rsidR="00A132BF" w:rsidRDefault="00A132BF" w:rsidP="00694BB3">
      <w:pPr>
        <w:pStyle w:val="Nagwek2"/>
        <w:tabs>
          <w:tab w:val="left" w:pos="3636"/>
        </w:tabs>
        <w:rPr>
          <w:rStyle w:val="Nagwek1Znak"/>
          <w:rFonts w:ascii="Times New Roman" w:hAnsi="Times New Roman" w:cs="Times New Roman"/>
          <w:b w:val="0"/>
          <w:sz w:val="22"/>
          <w:szCs w:val="22"/>
          <w:lang w:val="pl-PL"/>
        </w:rPr>
      </w:pPr>
    </w:p>
    <w:p w14:paraId="71547520" w14:textId="49509224" w:rsidR="00293CBA" w:rsidRPr="00A132BF" w:rsidRDefault="007619D7" w:rsidP="00694BB3">
      <w:pPr>
        <w:pStyle w:val="Nagwek2"/>
        <w:tabs>
          <w:tab w:val="left" w:pos="3636"/>
        </w:tabs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132BF">
        <w:rPr>
          <w:rStyle w:val="Nagwek1Znak"/>
          <w:rFonts w:ascii="Times New Roman" w:hAnsi="Times New Roman" w:cs="Times New Roman"/>
          <w:b w:val="0"/>
          <w:sz w:val="22"/>
          <w:szCs w:val="22"/>
          <w:lang w:val="pl-PL"/>
        </w:rPr>
        <w:t>Styczeń</w:t>
      </w:r>
      <w:r w:rsidR="00781AFE" w:rsidRPr="00A132BF">
        <w:rPr>
          <w:rStyle w:val="Nagwek1Znak"/>
          <w:rFonts w:ascii="Times New Roman" w:hAnsi="Times New Roman" w:cs="Times New Roman"/>
          <w:b w:val="0"/>
          <w:sz w:val="22"/>
          <w:szCs w:val="22"/>
          <w:lang w:val="pl-PL"/>
        </w:rPr>
        <w:t xml:space="preserve"> </w:t>
      </w:r>
      <w:r w:rsidR="00D83593" w:rsidRPr="00A132BF">
        <w:rPr>
          <w:rStyle w:val="Nagwek1Znak"/>
          <w:rFonts w:ascii="Times New Roman" w:hAnsi="Times New Roman" w:cs="Times New Roman"/>
          <w:b w:val="0"/>
          <w:sz w:val="22"/>
          <w:szCs w:val="22"/>
          <w:lang w:val="pl-PL"/>
        </w:rPr>
        <w:t>202</w:t>
      </w:r>
      <w:r w:rsidR="00781AFE" w:rsidRPr="00A132BF">
        <w:rPr>
          <w:rStyle w:val="Nagwek1Znak"/>
          <w:rFonts w:ascii="Times New Roman" w:hAnsi="Times New Roman" w:cs="Times New Roman"/>
          <w:b w:val="0"/>
          <w:sz w:val="22"/>
          <w:szCs w:val="22"/>
          <w:lang w:val="pl-PL"/>
        </w:rPr>
        <w:t>1</w:t>
      </w:r>
    </w:p>
    <w:p w14:paraId="478D65FD" w14:textId="168E6AB6" w:rsidR="00960313" w:rsidRPr="00A132BF" w:rsidRDefault="00960313" w:rsidP="00960313">
      <w:pPr>
        <w:rPr>
          <w:rFonts w:ascii="Times New Roman" w:hAnsi="Times New Roman"/>
          <w:lang w:val="pl-PL" w:eastAsia="en-GB"/>
        </w:rPr>
      </w:pPr>
    </w:p>
    <w:p w14:paraId="09721B5B" w14:textId="77777777" w:rsidR="003341A3" w:rsidRPr="00A132BF" w:rsidRDefault="003341A3" w:rsidP="00293CBA">
      <w:pPr>
        <w:jc w:val="both"/>
        <w:rPr>
          <w:rFonts w:ascii="Times New Roman" w:hAnsi="Times New Roman"/>
          <w:lang w:val="pl-PL"/>
        </w:rPr>
      </w:pPr>
    </w:p>
    <w:p w14:paraId="3633EA3A" w14:textId="7C2941D1" w:rsidR="00F74420" w:rsidRPr="00A132BF" w:rsidRDefault="00F74420" w:rsidP="00293CBA">
      <w:pPr>
        <w:jc w:val="both"/>
        <w:rPr>
          <w:rFonts w:ascii="Times New Roman" w:eastAsiaTheme="majorEastAsia" w:hAnsi="Times New Roman"/>
          <w:b/>
          <w:color w:val="0070C0"/>
          <w:sz w:val="28"/>
          <w:szCs w:val="24"/>
          <w:lang w:val="pl-PL"/>
        </w:rPr>
      </w:pPr>
      <w:r w:rsidRPr="00A132BF">
        <w:rPr>
          <w:rFonts w:ascii="Times New Roman" w:eastAsiaTheme="majorEastAsia" w:hAnsi="Times New Roman"/>
          <w:b/>
          <w:color w:val="0070C0"/>
          <w:sz w:val="28"/>
          <w:szCs w:val="24"/>
          <w:lang w:val="pl-PL"/>
        </w:rPr>
        <w:t xml:space="preserve">Brexit: </w:t>
      </w:r>
      <w:r w:rsidR="005C0930" w:rsidRPr="00A132BF">
        <w:rPr>
          <w:rFonts w:ascii="Times New Roman" w:eastAsiaTheme="majorEastAsia" w:hAnsi="Times New Roman"/>
          <w:b/>
          <w:color w:val="0070C0"/>
          <w:sz w:val="28"/>
          <w:szCs w:val="24"/>
          <w:lang w:val="pl-PL"/>
        </w:rPr>
        <w:t>obecny stan</w:t>
      </w:r>
    </w:p>
    <w:p w14:paraId="00AD8FFC" w14:textId="4F22BD1D" w:rsidR="00F74420" w:rsidRPr="00A132BF" w:rsidRDefault="00F74420" w:rsidP="00293CBA">
      <w:pPr>
        <w:jc w:val="both"/>
        <w:rPr>
          <w:rFonts w:ascii="Times New Roman" w:hAnsi="Times New Roman"/>
          <w:lang w:val="pl-PL"/>
        </w:rPr>
      </w:pPr>
    </w:p>
    <w:p w14:paraId="30549740" w14:textId="3FC6B5A0" w:rsidR="00176057" w:rsidRPr="00A132BF" w:rsidRDefault="00423041" w:rsidP="00176057">
      <w:pPr>
        <w:jc w:val="both"/>
        <w:rPr>
          <w:rFonts w:ascii="Times New Roman" w:hAnsi="Times New Roman"/>
          <w:sz w:val="24"/>
          <w:szCs w:val="24"/>
          <w:lang w:val="pl-PL" w:eastAsia="en-GB"/>
        </w:rPr>
      </w:pPr>
      <w:r w:rsidRPr="00423041">
        <w:rPr>
          <w:rFonts w:ascii="Times New Roman" w:hAnsi="Times New Roman"/>
          <w:sz w:val="24"/>
          <w:szCs w:val="24"/>
          <w:lang w:val="pl-PL" w:eastAsia="en-GB"/>
        </w:rPr>
        <w:t xml:space="preserve">Cztery lata po referendum w Wielkiej Brytanii doszło do Brexitu. Od </w:t>
      </w:r>
      <w:r>
        <w:rPr>
          <w:rFonts w:ascii="Times New Roman" w:hAnsi="Times New Roman"/>
          <w:sz w:val="24"/>
          <w:szCs w:val="24"/>
          <w:lang w:val="pl-PL" w:eastAsia="en-GB"/>
        </w:rPr>
        <w:t>1 stycznia 2021</w:t>
      </w:r>
      <w:r w:rsidRPr="00423041">
        <w:rPr>
          <w:rFonts w:ascii="Times New Roman" w:hAnsi="Times New Roman"/>
          <w:sz w:val="24"/>
          <w:szCs w:val="24"/>
          <w:lang w:val="pl-PL" w:eastAsia="en-GB"/>
        </w:rPr>
        <w:t xml:space="preserve">r. Wielka Brytania nie jest ani członkiem UE, ani częścią Europejskiego Obszaru Gospodarczego (EOG). </w:t>
      </w:r>
      <w:r w:rsidR="00744772">
        <w:rPr>
          <w:rFonts w:ascii="Times New Roman" w:hAnsi="Times New Roman"/>
          <w:sz w:val="24"/>
          <w:szCs w:val="24"/>
          <w:lang w:val="pl-PL" w:eastAsia="en-GB"/>
        </w:rPr>
        <w:br/>
      </w:r>
      <w:r w:rsidRPr="00423041">
        <w:rPr>
          <w:rFonts w:ascii="Times New Roman" w:hAnsi="Times New Roman"/>
          <w:sz w:val="24"/>
          <w:szCs w:val="24"/>
          <w:lang w:val="pl-PL" w:eastAsia="en-GB"/>
        </w:rPr>
        <w:t>Od tego dnia stosunki między Zjednoczonym Królestwem a UE oraz ich partn</w:t>
      </w:r>
      <w:r>
        <w:rPr>
          <w:rFonts w:ascii="Times New Roman" w:hAnsi="Times New Roman"/>
          <w:sz w:val="24"/>
          <w:szCs w:val="24"/>
          <w:lang w:val="pl-PL" w:eastAsia="en-GB"/>
        </w:rPr>
        <w:t xml:space="preserve">erstwo gospodarcze </w:t>
      </w:r>
      <w:r w:rsidR="00744772">
        <w:rPr>
          <w:rFonts w:ascii="Times New Roman" w:hAnsi="Times New Roman"/>
          <w:sz w:val="24"/>
          <w:szCs w:val="24"/>
          <w:lang w:val="pl-PL" w:eastAsia="en-GB"/>
        </w:rPr>
        <w:br/>
      </w:r>
      <w:r>
        <w:rPr>
          <w:rFonts w:ascii="Times New Roman" w:hAnsi="Times New Roman"/>
          <w:sz w:val="24"/>
          <w:szCs w:val="24"/>
          <w:lang w:val="pl-PL" w:eastAsia="en-GB"/>
        </w:rPr>
        <w:t>i społeczne</w:t>
      </w:r>
      <w:r w:rsidR="00176057" w:rsidRPr="00A132BF">
        <w:rPr>
          <w:rStyle w:val="Odwoanieprzypisudolnego"/>
          <w:rFonts w:ascii="Times New Roman" w:hAnsi="Times New Roman"/>
          <w:sz w:val="24"/>
          <w:szCs w:val="24"/>
          <w:lang w:val="pl-PL" w:eastAsia="en-GB"/>
        </w:rPr>
        <w:footnoteReference w:id="2"/>
      </w:r>
      <w:r>
        <w:rPr>
          <w:rFonts w:ascii="Times New Roman" w:hAnsi="Times New Roman"/>
          <w:sz w:val="24"/>
          <w:szCs w:val="24"/>
          <w:lang w:val="pl-PL" w:eastAsia="en-GB"/>
        </w:rPr>
        <w:t xml:space="preserve"> regulować będzie </w:t>
      </w:r>
      <w:r w:rsidRPr="00423041">
        <w:rPr>
          <w:rFonts w:ascii="Times New Roman" w:hAnsi="Times New Roman"/>
          <w:sz w:val="24"/>
          <w:szCs w:val="24"/>
          <w:lang w:val="pl-PL" w:eastAsia="en-GB"/>
        </w:rPr>
        <w:t>n</w:t>
      </w:r>
      <w:r>
        <w:rPr>
          <w:rFonts w:ascii="Times New Roman" w:hAnsi="Times New Roman"/>
          <w:sz w:val="24"/>
          <w:szCs w:val="24"/>
          <w:lang w:val="pl-PL" w:eastAsia="en-GB"/>
        </w:rPr>
        <w:t>owa Umowa o Handlu i Współpracy.</w:t>
      </w:r>
    </w:p>
    <w:p w14:paraId="383B2EF1" w14:textId="77777777" w:rsidR="00176057" w:rsidRPr="00A132BF" w:rsidRDefault="00176057" w:rsidP="00176057">
      <w:pPr>
        <w:jc w:val="both"/>
        <w:rPr>
          <w:rFonts w:ascii="Times New Roman" w:hAnsi="Times New Roman"/>
          <w:sz w:val="24"/>
          <w:szCs w:val="24"/>
          <w:lang w:val="pl-PL" w:eastAsia="en-GB"/>
        </w:rPr>
      </w:pPr>
    </w:p>
    <w:p w14:paraId="08044D5B" w14:textId="1697AC85" w:rsidR="00F5051E" w:rsidRPr="00A132BF" w:rsidRDefault="00176057" w:rsidP="00176057">
      <w:pPr>
        <w:jc w:val="both"/>
        <w:rPr>
          <w:rFonts w:ascii="Times New Roman" w:hAnsi="Times New Roman"/>
          <w:sz w:val="24"/>
          <w:szCs w:val="24"/>
          <w:lang w:val="pl-PL" w:eastAsia="en-GB"/>
        </w:rPr>
      </w:pPr>
      <w:r w:rsidRPr="00A132BF">
        <w:rPr>
          <w:rFonts w:ascii="Times New Roman" w:hAnsi="Times New Roman"/>
          <w:sz w:val="24"/>
          <w:szCs w:val="24"/>
          <w:lang w:val="pl-PL" w:eastAsia="en-GB"/>
        </w:rPr>
        <w:t xml:space="preserve">Jeśli chodzi o podstawowe prawa pracowników w miejscu pracy, ich prawo do informacji </w:t>
      </w:r>
      <w:r w:rsidR="0019621B" w:rsidRPr="00A132BF">
        <w:rPr>
          <w:rFonts w:ascii="Times New Roman" w:hAnsi="Times New Roman"/>
          <w:sz w:val="24"/>
          <w:szCs w:val="24"/>
          <w:lang w:val="pl-PL" w:eastAsia="en-GB"/>
        </w:rPr>
        <w:br/>
      </w:r>
      <w:r w:rsidRPr="00A132BF">
        <w:rPr>
          <w:rFonts w:ascii="Times New Roman" w:hAnsi="Times New Roman"/>
          <w:sz w:val="24"/>
          <w:szCs w:val="24"/>
          <w:lang w:val="pl-PL" w:eastAsia="en-GB"/>
        </w:rPr>
        <w:t xml:space="preserve">i konsultacji na poziomie przedsiębiorstwa, jak również ich prawa w przypadku restrukturyzacji, </w:t>
      </w:r>
      <w:r w:rsidR="009606FF" w:rsidRPr="00A132BF">
        <w:rPr>
          <w:rFonts w:ascii="Times New Roman" w:hAnsi="Times New Roman"/>
          <w:sz w:val="24"/>
          <w:szCs w:val="24"/>
          <w:lang w:val="pl-PL" w:eastAsia="en-GB"/>
        </w:rPr>
        <w:t>kamieniem węgielnym nowej</w:t>
      </w:r>
      <w:r w:rsidRPr="00A132BF">
        <w:rPr>
          <w:rFonts w:ascii="Times New Roman" w:hAnsi="Times New Roman"/>
          <w:sz w:val="24"/>
          <w:szCs w:val="24"/>
          <w:lang w:val="pl-PL" w:eastAsia="en-GB"/>
        </w:rPr>
        <w:t xml:space="preserve"> U</w:t>
      </w:r>
      <w:r w:rsidR="009606FF" w:rsidRPr="00A132BF">
        <w:rPr>
          <w:rFonts w:ascii="Times New Roman" w:hAnsi="Times New Roman"/>
          <w:sz w:val="24"/>
          <w:szCs w:val="24"/>
          <w:lang w:val="pl-PL" w:eastAsia="en-GB"/>
        </w:rPr>
        <w:t>mowy</w:t>
      </w:r>
      <w:r w:rsidRPr="00A132BF">
        <w:rPr>
          <w:rFonts w:ascii="Times New Roman" w:hAnsi="Times New Roman"/>
          <w:sz w:val="24"/>
          <w:szCs w:val="24"/>
          <w:lang w:val="pl-PL" w:eastAsia="en-GB"/>
        </w:rPr>
        <w:t xml:space="preserve"> o Handlu i Współpracy </w:t>
      </w:r>
      <w:r w:rsidR="009606FF" w:rsidRPr="00A132BF">
        <w:rPr>
          <w:rFonts w:ascii="Times New Roman" w:hAnsi="Times New Roman"/>
          <w:sz w:val="24"/>
          <w:szCs w:val="24"/>
          <w:lang w:val="pl-PL" w:eastAsia="en-GB"/>
        </w:rPr>
        <w:t xml:space="preserve">jest  klauzula </w:t>
      </w:r>
      <w:r w:rsidR="00A132BF">
        <w:rPr>
          <w:rFonts w:ascii="Times New Roman" w:hAnsi="Times New Roman"/>
          <w:sz w:val="24"/>
          <w:szCs w:val="24"/>
          <w:shd w:val="clear" w:color="auto" w:fill="FFFFFF" w:themeFill="background1"/>
          <w:lang w:val="pl-PL" w:eastAsia="en-GB"/>
        </w:rPr>
        <w:t>o nieobniżaniu standardów</w:t>
      </w:r>
      <w:r w:rsidRPr="00A132BF">
        <w:rPr>
          <w:rFonts w:ascii="Times New Roman" w:hAnsi="Times New Roman"/>
          <w:sz w:val="24"/>
          <w:szCs w:val="24"/>
          <w:lang w:val="pl-PL" w:eastAsia="en-GB"/>
        </w:rPr>
        <w:t>:</w:t>
      </w:r>
    </w:p>
    <w:p w14:paraId="61DD7EE1" w14:textId="77777777" w:rsidR="00176057" w:rsidRPr="00A132BF" w:rsidRDefault="00176057" w:rsidP="00176057">
      <w:pPr>
        <w:jc w:val="both"/>
        <w:rPr>
          <w:rFonts w:ascii="Times New Roman" w:hAnsi="Times New Roman"/>
          <w:lang w:val="pl-PL" w:eastAsia="en-GB"/>
        </w:rPr>
      </w:pPr>
    </w:p>
    <w:p w14:paraId="04312E8E" w14:textId="05E55F4D" w:rsidR="00F5051E" w:rsidRPr="00423041" w:rsidRDefault="0056155C" w:rsidP="00B51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rFonts w:ascii="Times New Roman" w:hAnsi="Times New Roman"/>
          <w:i/>
          <w:iCs/>
          <w:sz w:val="24"/>
          <w:szCs w:val="24"/>
          <w:lang w:val="pl-PL" w:eastAsia="en-GB"/>
        </w:rPr>
      </w:pPr>
      <w:r w:rsidRPr="00423041">
        <w:rPr>
          <w:rFonts w:ascii="Times New Roman" w:hAnsi="Times New Roman"/>
          <w:i/>
          <w:iCs/>
          <w:sz w:val="24"/>
          <w:szCs w:val="24"/>
          <w:lang w:val="pl-PL" w:eastAsia="en-GB"/>
        </w:rPr>
        <w:t>Strona nie osłabia ani nie obniża, w sposób wpływający na handel lub inwestycje, poziomów ochrony pracy i ochrony socjalnej poniżej poziomów obowiązujących na koniec okresu przejściowego, w tym poprzez nieskuteczne egzekwowanie przepisów i norm.</w:t>
      </w:r>
    </w:p>
    <w:p w14:paraId="478853B1" w14:textId="77777777" w:rsidR="00A132BF" w:rsidRPr="00407049" w:rsidRDefault="00A132BF" w:rsidP="00B51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rFonts w:ascii="Times New Roman" w:hAnsi="Times New Roman"/>
          <w:sz w:val="24"/>
          <w:szCs w:val="24"/>
          <w:u w:val="single"/>
          <w:lang w:val="pl-PL" w:eastAsia="en-GB"/>
        </w:rPr>
      </w:pPr>
    </w:p>
    <w:p w14:paraId="3128B80D" w14:textId="4C58EA69" w:rsidR="00327CA4" w:rsidRPr="00423041" w:rsidRDefault="0056155C" w:rsidP="00B51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rFonts w:ascii="Times New Roman" w:hAnsi="Times New Roman"/>
          <w:lang w:val="en-GB"/>
        </w:rPr>
      </w:pPr>
      <w:r w:rsidRPr="00423041">
        <w:rPr>
          <w:rFonts w:ascii="Times New Roman" w:hAnsi="Times New Roman"/>
          <w:u w:val="single"/>
          <w:lang w:val="en-US" w:eastAsia="en-GB"/>
        </w:rPr>
        <w:t>Źrodło</w:t>
      </w:r>
      <w:r w:rsidR="001976EE" w:rsidRPr="006A4D3A">
        <w:rPr>
          <w:rFonts w:ascii="Times New Roman" w:hAnsi="Times New Roman"/>
          <w:lang w:val="en-GB" w:eastAsia="en-GB"/>
        </w:rPr>
        <w:t>:</w:t>
      </w:r>
      <w:r w:rsidR="006A4D3A">
        <w:rPr>
          <w:rFonts w:ascii="Times New Roman" w:hAnsi="Times New Roman"/>
          <w:lang w:val="en-GB" w:eastAsia="en-GB"/>
        </w:rPr>
        <w:t xml:space="preserve"> </w:t>
      </w:r>
      <w:hyperlink r:id="rId9" w:history="1">
        <w:r w:rsidR="006A4D3A" w:rsidRPr="006A4D3A">
          <w:rPr>
            <w:rStyle w:val="Hipercze"/>
            <w:rFonts w:ascii="Times New Roman" w:hAnsi="Times New Roman"/>
            <w:lang w:val="en-GB" w:eastAsia="en-GB"/>
          </w:rPr>
          <w:t>Umowa o handlu i współpracy</w:t>
        </w:r>
      </w:hyperlink>
      <w:r w:rsidR="006A4D3A">
        <w:rPr>
          <w:rFonts w:ascii="Times New Roman" w:hAnsi="Times New Roman"/>
          <w:lang w:val="en-GB" w:eastAsia="en-GB"/>
        </w:rPr>
        <w:t xml:space="preserve"> </w:t>
      </w:r>
      <w:r w:rsidR="00327CA4" w:rsidRPr="00423041">
        <w:rPr>
          <w:rFonts w:ascii="Times New Roman" w:hAnsi="Times New Roman"/>
          <w:lang w:val="en-GB" w:eastAsia="en-GB"/>
        </w:rPr>
        <w:t>Part two, Heading one, Title XI</w:t>
      </w:r>
      <w:r w:rsidR="00327CA4" w:rsidRPr="00423041">
        <w:rPr>
          <w:rFonts w:ascii="Times New Roman" w:hAnsi="Times New Roman"/>
          <w:lang w:val="en-GB"/>
        </w:rPr>
        <w:t xml:space="preserve">, </w:t>
      </w:r>
      <w:r w:rsidR="001976EE" w:rsidRPr="00423041">
        <w:rPr>
          <w:rFonts w:ascii="Times New Roman" w:hAnsi="Times New Roman"/>
          <w:lang w:val="en-GB"/>
        </w:rPr>
        <w:t>C</w:t>
      </w:r>
      <w:r w:rsidR="00327CA4" w:rsidRPr="00423041">
        <w:rPr>
          <w:rFonts w:ascii="Times New Roman" w:hAnsi="Times New Roman"/>
          <w:lang w:val="en-GB"/>
        </w:rPr>
        <w:t xml:space="preserve">hapter six, </w:t>
      </w:r>
      <w:r w:rsidR="00F10711" w:rsidRPr="00423041">
        <w:rPr>
          <w:rFonts w:ascii="Times New Roman" w:hAnsi="Times New Roman"/>
          <w:lang w:val="en-GB"/>
        </w:rPr>
        <w:t>A</w:t>
      </w:r>
      <w:r w:rsidR="00327CA4" w:rsidRPr="00423041">
        <w:rPr>
          <w:rFonts w:ascii="Times New Roman" w:hAnsi="Times New Roman"/>
          <w:lang w:val="en-GB"/>
        </w:rPr>
        <w:t>rticle 6.2</w:t>
      </w:r>
    </w:p>
    <w:p w14:paraId="022997C1" w14:textId="77777777" w:rsidR="00327CA4" w:rsidRPr="00A132BF" w:rsidRDefault="00327CA4" w:rsidP="00327CA4">
      <w:pPr>
        <w:rPr>
          <w:rFonts w:ascii="Times New Roman" w:hAnsi="Times New Roman"/>
          <w:lang w:val="en-GB" w:eastAsia="en-GB"/>
        </w:rPr>
      </w:pPr>
    </w:p>
    <w:p w14:paraId="62A588EC" w14:textId="40DA15C8" w:rsidR="00144B1F" w:rsidRPr="00423041" w:rsidRDefault="00144B1F" w:rsidP="00144B1F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423041">
        <w:rPr>
          <w:rFonts w:ascii="Times New Roman" w:hAnsi="Times New Roman"/>
          <w:sz w:val="24"/>
          <w:szCs w:val="24"/>
          <w:lang w:val="pl-PL"/>
        </w:rPr>
        <w:t xml:space="preserve">Klauzula o </w:t>
      </w:r>
      <w:r w:rsidR="00423041">
        <w:rPr>
          <w:rFonts w:ascii="Times New Roman" w:hAnsi="Times New Roman"/>
          <w:sz w:val="24"/>
          <w:szCs w:val="24"/>
          <w:lang w:val="pl-PL"/>
        </w:rPr>
        <w:t>nieobniżaniu standardów</w:t>
      </w:r>
      <w:r w:rsidRPr="00423041">
        <w:rPr>
          <w:rFonts w:ascii="Times New Roman" w:hAnsi="Times New Roman"/>
          <w:sz w:val="24"/>
          <w:szCs w:val="24"/>
          <w:lang w:val="pl-PL"/>
        </w:rPr>
        <w:t xml:space="preserve"> gwarantuje, że Brexit nie może prowadzić do ograniczenia </w:t>
      </w:r>
      <w:r w:rsidR="00744772">
        <w:rPr>
          <w:rFonts w:ascii="Times New Roman" w:hAnsi="Times New Roman"/>
          <w:sz w:val="24"/>
          <w:szCs w:val="24"/>
          <w:lang w:val="pl-PL"/>
        </w:rPr>
        <w:br/>
      </w:r>
      <w:r w:rsidRPr="00423041">
        <w:rPr>
          <w:rFonts w:ascii="Times New Roman" w:hAnsi="Times New Roman"/>
          <w:sz w:val="24"/>
          <w:szCs w:val="24"/>
          <w:lang w:val="pl-PL"/>
        </w:rPr>
        <w:t>lub osłabienia praw pracowniczych w porównaniu z</w:t>
      </w:r>
      <w:r w:rsidR="00C07CC3" w:rsidRPr="00423041">
        <w:rPr>
          <w:rFonts w:ascii="Times New Roman" w:hAnsi="Times New Roman"/>
          <w:sz w:val="24"/>
          <w:szCs w:val="24"/>
          <w:lang w:val="pl-PL"/>
        </w:rPr>
        <w:t>e stanem, który obowiązywał</w:t>
      </w:r>
      <w:r w:rsidRPr="00423041">
        <w:rPr>
          <w:rFonts w:ascii="Times New Roman" w:hAnsi="Times New Roman"/>
          <w:sz w:val="24"/>
          <w:szCs w:val="24"/>
          <w:lang w:val="pl-PL"/>
        </w:rPr>
        <w:t xml:space="preserve"> przed dniem </w:t>
      </w:r>
      <w:r w:rsidR="00744772">
        <w:rPr>
          <w:rFonts w:ascii="Times New Roman" w:hAnsi="Times New Roman"/>
          <w:sz w:val="24"/>
          <w:szCs w:val="24"/>
          <w:lang w:val="pl-PL"/>
        </w:rPr>
        <w:br/>
      </w:r>
      <w:r w:rsidRPr="00423041">
        <w:rPr>
          <w:rFonts w:ascii="Times New Roman" w:hAnsi="Times New Roman"/>
          <w:sz w:val="24"/>
          <w:szCs w:val="24"/>
          <w:lang w:val="pl-PL"/>
        </w:rPr>
        <w:t xml:space="preserve">1 stycznia 2021 r. </w:t>
      </w:r>
    </w:p>
    <w:p w14:paraId="0382ACB1" w14:textId="77777777" w:rsidR="00144B1F" w:rsidRPr="00423041" w:rsidRDefault="00144B1F" w:rsidP="00144B1F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324DBCB" w14:textId="098272C0" w:rsidR="00144B1F" w:rsidRPr="00423041" w:rsidRDefault="00144B1F" w:rsidP="00293CBA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423041">
        <w:rPr>
          <w:rFonts w:ascii="Times New Roman" w:hAnsi="Times New Roman"/>
          <w:sz w:val="24"/>
          <w:szCs w:val="24"/>
          <w:lang w:val="pl-PL"/>
        </w:rPr>
        <w:t>Ponadto w 2018r. Zjednoczone Królestwo przyjęło przepisy</w:t>
      </w:r>
      <w:r w:rsidR="00A94B43" w:rsidRPr="00423041">
        <w:rPr>
          <w:rStyle w:val="Odwoanieprzypisudolnego"/>
          <w:rFonts w:ascii="Times New Roman" w:hAnsi="Times New Roman"/>
          <w:sz w:val="24"/>
          <w:szCs w:val="24"/>
          <w:lang w:val="pl-PL"/>
        </w:rPr>
        <w:footnoteReference w:id="3"/>
      </w:r>
      <w:r w:rsidRPr="00423041">
        <w:rPr>
          <w:rFonts w:ascii="Times New Roman" w:hAnsi="Times New Roman"/>
          <w:sz w:val="24"/>
          <w:szCs w:val="24"/>
          <w:lang w:val="pl-PL"/>
        </w:rPr>
        <w:t>, zgodnie z którymi bezpośrednie prawo UE (przepisy i decyzje UE), jak również brytyjskie przepisy transponujące dyrektywy UE (takie jak dyrektywa w sprawie europejskiej rady zakładowej), zostały automatycznie przeniesione do prawa krajowego Zjednoczonego Królestwa w dniu Brexit. Na mocy tego</w:t>
      </w:r>
      <w:r w:rsidR="00C07CC3" w:rsidRPr="00423041">
        <w:rPr>
          <w:rFonts w:ascii="Times New Roman" w:hAnsi="Times New Roman"/>
          <w:sz w:val="24"/>
          <w:szCs w:val="24"/>
          <w:lang w:val="pl-PL"/>
        </w:rPr>
        <w:t>ż</w:t>
      </w:r>
      <w:r w:rsidRPr="0042304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07CC3" w:rsidRPr="00423041">
        <w:rPr>
          <w:rFonts w:ascii="Times New Roman" w:hAnsi="Times New Roman"/>
          <w:sz w:val="24"/>
          <w:szCs w:val="24"/>
          <w:lang w:val="pl-PL"/>
        </w:rPr>
        <w:t>prawa</w:t>
      </w:r>
      <w:r w:rsidRPr="0042304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D5C67" w:rsidRPr="00423041">
        <w:rPr>
          <w:rFonts w:ascii="Times New Roman" w:hAnsi="Times New Roman"/>
          <w:sz w:val="24"/>
          <w:szCs w:val="24"/>
          <w:lang w:val="pl-PL"/>
        </w:rPr>
        <w:t xml:space="preserve">zachowane zostaną prawa przedstawicieli pracowników brytyjskich w ERZ oraz radach zakładowych </w:t>
      </w:r>
      <w:r w:rsidR="00744772">
        <w:rPr>
          <w:rFonts w:ascii="Times New Roman" w:hAnsi="Times New Roman"/>
          <w:sz w:val="24"/>
          <w:szCs w:val="24"/>
          <w:lang w:val="pl-PL"/>
        </w:rPr>
        <w:br/>
      </w:r>
      <w:r w:rsidR="00AD5C67" w:rsidRPr="00423041">
        <w:rPr>
          <w:rFonts w:ascii="Times New Roman" w:hAnsi="Times New Roman"/>
          <w:sz w:val="24"/>
          <w:szCs w:val="24"/>
          <w:lang w:val="pl-PL"/>
        </w:rPr>
        <w:t xml:space="preserve">i organach zarządzających spółek </w:t>
      </w:r>
      <w:r w:rsidR="00C8658D" w:rsidRPr="00423041">
        <w:rPr>
          <w:rFonts w:ascii="Times New Roman" w:hAnsi="Times New Roman"/>
          <w:sz w:val="24"/>
          <w:szCs w:val="24"/>
          <w:lang w:val="pl-PL"/>
        </w:rPr>
        <w:t xml:space="preserve">posiadających statut </w:t>
      </w:r>
      <w:r w:rsidR="00AD5C67" w:rsidRPr="00423041">
        <w:rPr>
          <w:rFonts w:ascii="Times New Roman" w:hAnsi="Times New Roman"/>
          <w:sz w:val="24"/>
          <w:szCs w:val="24"/>
          <w:lang w:val="pl-PL"/>
        </w:rPr>
        <w:t>Spółki Europejskiej (SE).</w:t>
      </w:r>
    </w:p>
    <w:p w14:paraId="48A28390" w14:textId="77777777" w:rsidR="00F5051E" w:rsidRPr="00A132BF" w:rsidRDefault="00F5051E" w:rsidP="00293CBA">
      <w:pPr>
        <w:jc w:val="both"/>
        <w:rPr>
          <w:rFonts w:ascii="Times New Roman" w:hAnsi="Times New Roman"/>
          <w:lang w:val="pl-PL"/>
        </w:rPr>
      </w:pPr>
    </w:p>
    <w:p w14:paraId="19DDC605" w14:textId="415C469F" w:rsidR="004454FE" w:rsidRPr="00A132BF" w:rsidRDefault="00663E51" w:rsidP="008A1E5B">
      <w:pPr>
        <w:jc w:val="both"/>
        <w:rPr>
          <w:rFonts w:ascii="Times New Roman" w:eastAsiaTheme="majorEastAsia" w:hAnsi="Times New Roman"/>
          <w:b/>
          <w:color w:val="0070C0"/>
          <w:sz w:val="28"/>
          <w:szCs w:val="24"/>
          <w:lang w:val="pl-PL"/>
        </w:rPr>
      </w:pPr>
      <w:r>
        <w:rPr>
          <w:rFonts w:ascii="Times New Roman" w:eastAsiaTheme="majorEastAsia" w:hAnsi="Times New Roman"/>
          <w:b/>
          <w:color w:val="0070C0"/>
          <w:sz w:val="28"/>
          <w:szCs w:val="24"/>
          <w:lang w:val="pl-PL"/>
        </w:rPr>
        <w:lastRenderedPageBreak/>
        <w:t>Wytyczne dla</w:t>
      </w:r>
      <w:r w:rsidR="0029577C" w:rsidRPr="00A132BF">
        <w:rPr>
          <w:rFonts w:ascii="Times New Roman" w:eastAsiaTheme="majorEastAsia" w:hAnsi="Times New Roman"/>
          <w:b/>
          <w:color w:val="0070C0"/>
          <w:sz w:val="28"/>
          <w:szCs w:val="24"/>
          <w:lang w:val="pl-PL"/>
        </w:rPr>
        <w:t xml:space="preserve"> związków zawodowych</w:t>
      </w:r>
    </w:p>
    <w:p w14:paraId="7D879FA5" w14:textId="77777777" w:rsidR="0029577C" w:rsidRPr="00A132BF" w:rsidRDefault="0029577C" w:rsidP="008A1E5B">
      <w:pPr>
        <w:jc w:val="both"/>
        <w:rPr>
          <w:rFonts w:ascii="Times New Roman" w:hAnsi="Times New Roman"/>
          <w:bCs/>
          <w:lang w:val="pl-PL"/>
        </w:rPr>
      </w:pPr>
    </w:p>
    <w:p w14:paraId="5DBF3125" w14:textId="48F5F822" w:rsidR="0029577C" w:rsidRPr="000F48E0" w:rsidRDefault="0029577C" w:rsidP="0029577C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0F48E0">
        <w:rPr>
          <w:rFonts w:ascii="Times New Roman" w:hAnsi="Times New Roman"/>
          <w:bCs/>
          <w:sz w:val="24"/>
          <w:szCs w:val="24"/>
          <w:lang w:val="pl-PL"/>
        </w:rPr>
        <w:t xml:space="preserve">Opierając się na </w:t>
      </w:r>
      <w:r w:rsidRPr="000F48E0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pl-PL"/>
        </w:rPr>
        <w:t xml:space="preserve">klauzuli o </w:t>
      </w:r>
      <w:r w:rsidR="00A132BF" w:rsidRPr="000F48E0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pl-PL"/>
        </w:rPr>
        <w:t>n</w:t>
      </w:r>
      <w:r w:rsidR="00DD5D57" w:rsidRPr="000F48E0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val="pl-PL"/>
        </w:rPr>
        <w:t>ieobniżaniu standardów</w:t>
      </w:r>
      <w:r w:rsidRPr="000F48E0">
        <w:rPr>
          <w:rFonts w:ascii="Times New Roman" w:hAnsi="Times New Roman"/>
          <w:bCs/>
          <w:sz w:val="24"/>
          <w:szCs w:val="24"/>
          <w:lang w:val="pl-PL"/>
        </w:rPr>
        <w:t xml:space="preserve"> i przeniesieniu przepisów transponujących dyrektywy o ERZ i SE do prawa krajowego Wielkiej Brytanii po Brexicie, Europejskie Federacje Związków Zawodowych będą sprzeciwiać się wszelkim próbom ograniczenia praw Specjalnych Zespołów Negocjacyjnych (SZN), Europejskich Rad Zakładowych (ERZ), rad pracowniczych </w:t>
      </w:r>
      <w:r w:rsidR="00CD72E7">
        <w:rPr>
          <w:rFonts w:ascii="Times New Roman" w:hAnsi="Times New Roman"/>
          <w:bCs/>
          <w:sz w:val="24"/>
          <w:szCs w:val="24"/>
          <w:lang w:val="pl-PL"/>
        </w:rPr>
        <w:br/>
      </w:r>
      <w:r w:rsidRPr="000F48E0">
        <w:rPr>
          <w:rFonts w:ascii="Times New Roman" w:hAnsi="Times New Roman"/>
          <w:bCs/>
          <w:sz w:val="24"/>
          <w:szCs w:val="24"/>
          <w:lang w:val="pl-PL"/>
        </w:rPr>
        <w:t xml:space="preserve">i zarządów przedsiębiorstw </w:t>
      </w:r>
      <w:r w:rsidR="006351CE" w:rsidRPr="000F48E0">
        <w:rPr>
          <w:rFonts w:ascii="Times New Roman" w:hAnsi="Times New Roman"/>
          <w:bCs/>
          <w:sz w:val="24"/>
          <w:szCs w:val="24"/>
          <w:lang w:val="pl-PL"/>
        </w:rPr>
        <w:t>posiadających statut Spółki Europejskiej</w:t>
      </w:r>
      <w:r w:rsidRPr="000F48E0">
        <w:rPr>
          <w:rFonts w:ascii="Times New Roman" w:hAnsi="Times New Roman"/>
          <w:bCs/>
          <w:sz w:val="24"/>
          <w:szCs w:val="24"/>
          <w:lang w:val="pl-PL"/>
        </w:rPr>
        <w:t xml:space="preserve"> (SE), </w:t>
      </w:r>
      <w:r w:rsidR="006351CE" w:rsidRPr="000F48E0">
        <w:rPr>
          <w:rFonts w:ascii="Times New Roman" w:hAnsi="Times New Roman"/>
          <w:bCs/>
          <w:sz w:val="24"/>
          <w:szCs w:val="24"/>
          <w:lang w:val="pl-PL"/>
        </w:rPr>
        <w:t>istniejących</w:t>
      </w:r>
      <w:r w:rsidRPr="000F48E0">
        <w:rPr>
          <w:rFonts w:ascii="Times New Roman" w:hAnsi="Times New Roman"/>
          <w:bCs/>
          <w:sz w:val="24"/>
          <w:szCs w:val="24"/>
          <w:lang w:val="pl-PL"/>
        </w:rPr>
        <w:t xml:space="preserve"> przed Brexitem, a także reprezentacji Wielkiej Brytanii w tych organach. Zapobieganie dumpingowi społecznemu i wyścigowi na dno ma fundamentalne znaczenie. </w:t>
      </w:r>
    </w:p>
    <w:p w14:paraId="0ACD2E50" w14:textId="77777777" w:rsidR="0029577C" w:rsidRPr="00A132BF" w:rsidRDefault="0029577C" w:rsidP="0029577C">
      <w:pPr>
        <w:jc w:val="both"/>
        <w:rPr>
          <w:rFonts w:ascii="Times New Roman" w:hAnsi="Times New Roman"/>
          <w:bCs/>
          <w:lang w:val="pl-PL"/>
        </w:rPr>
      </w:pPr>
    </w:p>
    <w:p w14:paraId="79BD65CF" w14:textId="613D5898" w:rsidR="000568AC" w:rsidRPr="00CD72E7" w:rsidRDefault="0029577C" w:rsidP="000568AC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CD72E7">
        <w:rPr>
          <w:rFonts w:ascii="Times New Roman" w:hAnsi="Times New Roman"/>
          <w:bCs/>
          <w:sz w:val="24"/>
          <w:szCs w:val="24"/>
          <w:lang w:val="pl-PL"/>
        </w:rPr>
        <w:t>Mimo</w:t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>,</w:t>
      </w:r>
      <w:r w:rsidRPr="00CD72E7">
        <w:rPr>
          <w:rFonts w:ascii="Times New Roman" w:hAnsi="Times New Roman"/>
          <w:bCs/>
          <w:sz w:val="24"/>
          <w:szCs w:val="24"/>
          <w:lang w:val="pl-PL"/>
        </w:rPr>
        <w:t xml:space="preserve"> że osiągnięto porozumienie, Brexit może mieć destrukcyjny wpływ na wiele sek</w:t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 xml:space="preserve">torów </w:t>
      </w:r>
      <w:r w:rsidR="00CD72E7">
        <w:rPr>
          <w:rFonts w:ascii="Times New Roman" w:hAnsi="Times New Roman"/>
          <w:bCs/>
          <w:sz w:val="24"/>
          <w:szCs w:val="24"/>
          <w:lang w:val="pl-PL"/>
        </w:rPr>
        <w:br/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 xml:space="preserve">i </w:t>
      </w:r>
      <w:r w:rsidRPr="00CD72E7">
        <w:rPr>
          <w:rFonts w:ascii="Times New Roman" w:hAnsi="Times New Roman"/>
          <w:bCs/>
          <w:sz w:val="24"/>
          <w:szCs w:val="24"/>
          <w:lang w:val="pl-PL"/>
        </w:rPr>
        <w:t xml:space="preserve">prowadzić do potencjalnej utraty miejsc pracy. W związku z tym solidarność ponadnarodowa, która przez lata była rozwijana w ERZ i SE, musi się jeszcze bardziej umocnić. </w:t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 xml:space="preserve">Będzie to - bardziej niż kiedykolwiek - </w:t>
      </w:r>
      <w:r w:rsidR="000F48E0" w:rsidRPr="00CD72E7">
        <w:rPr>
          <w:rFonts w:ascii="Times New Roman" w:hAnsi="Times New Roman"/>
          <w:bCs/>
          <w:sz w:val="24"/>
          <w:szCs w:val="24"/>
          <w:lang w:val="pl-PL"/>
        </w:rPr>
        <w:t xml:space="preserve">potrzebne </w:t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 xml:space="preserve">do walki z próbami naruszania praw pracowników przez ponadnarodowe przedsiębiorstwa lub do wykorzystywania Brexitu do rozgrywania przeciwko sobie pracowników i zakładów z różnych krajów. Związki zawodowe i przedstawiciele pracowników </w:t>
      </w:r>
      <w:r w:rsidR="00CD72E7">
        <w:rPr>
          <w:rFonts w:ascii="Times New Roman" w:hAnsi="Times New Roman"/>
          <w:bCs/>
          <w:sz w:val="24"/>
          <w:szCs w:val="24"/>
          <w:lang w:val="pl-PL"/>
        </w:rPr>
        <w:br/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 xml:space="preserve">w przedsiębiorstwach ponadnarodowych muszą zatem zapewnić, </w:t>
      </w:r>
      <w:r w:rsidR="00CD72E7">
        <w:rPr>
          <w:rFonts w:ascii="Times New Roman" w:hAnsi="Times New Roman"/>
          <w:bCs/>
          <w:sz w:val="24"/>
          <w:szCs w:val="24"/>
          <w:lang w:val="pl-PL"/>
        </w:rPr>
        <w:t>by</w:t>
      </w:r>
      <w:r w:rsidR="000568AC" w:rsidRPr="00CD72E7">
        <w:rPr>
          <w:rFonts w:ascii="Times New Roman" w:hAnsi="Times New Roman"/>
          <w:bCs/>
          <w:sz w:val="24"/>
          <w:szCs w:val="24"/>
          <w:lang w:val="pl-PL"/>
        </w:rPr>
        <w:t>:</w:t>
      </w:r>
    </w:p>
    <w:p w14:paraId="67EC0F69" w14:textId="785F43EA" w:rsidR="0029577C" w:rsidRPr="00A132BF" w:rsidRDefault="0029577C" w:rsidP="0029577C">
      <w:pPr>
        <w:jc w:val="both"/>
        <w:rPr>
          <w:rFonts w:ascii="Times New Roman" w:hAnsi="Times New Roman"/>
          <w:bCs/>
          <w:lang w:val="pl-PL"/>
        </w:rPr>
      </w:pPr>
    </w:p>
    <w:p w14:paraId="4ED81F14" w14:textId="0C8B6E90" w:rsidR="008C0E8C" w:rsidRPr="00346111" w:rsidRDefault="008C0E8C" w:rsidP="008C0E8C">
      <w:pPr>
        <w:ind w:left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● </w:t>
      </w:r>
      <w:r w:rsidRPr="00346111">
        <w:rPr>
          <w:rFonts w:ascii="Times New Roman" w:hAnsi="Times New Roman"/>
          <w:b/>
          <w:bCs/>
          <w:sz w:val="24"/>
          <w:szCs w:val="24"/>
          <w:lang w:val="pl-PL"/>
        </w:rPr>
        <w:t>Prawa do informacji, konsultacji i partycypacji nie zostały zmniejszone</w:t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. Prawo pracowników do zdecydowanego głosu w sprawie planowanych decyzji przedsiębiorstwa i ich potencjalnych konsekwencji społecznych jest prawem podstawowym, które musi być zachowane dla pracowników w całej Europie. </w:t>
      </w:r>
    </w:p>
    <w:p w14:paraId="542D2A44" w14:textId="77777777" w:rsidR="008C0E8C" w:rsidRPr="00346111" w:rsidRDefault="008C0E8C" w:rsidP="008C0E8C">
      <w:pPr>
        <w:ind w:left="284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14:paraId="63BB5109" w14:textId="619A23B9" w:rsidR="008C0E8C" w:rsidRPr="00346111" w:rsidRDefault="008C0E8C" w:rsidP="008C0E8C">
      <w:pPr>
        <w:ind w:left="284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●  </w:t>
      </w:r>
      <w:r w:rsidRPr="00346111">
        <w:rPr>
          <w:rFonts w:ascii="Times New Roman" w:hAnsi="Times New Roman"/>
          <w:b/>
          <w:bCs/>
          <w:sz w:val="24"/>
          <w:szCs w:val="24"/>
          <w:lang w:val="pl-PL"/>
        </w:rPr>
        <w:t>Prawdopodobny wpływ Brexit</w:t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u na SZN, ERZ, Radę Zakładową lub Zarząd SE, jak również </w:t>
      </w:r>
      <w:r w:rsidR="0019621B" w:rsidRPr="00346111">
        <w:rPr>
          <w:rFonts w:ascii="Times New Roman" w:hAnsi="Times New Roman"/>
          <w:bCs/>
          <w:sz w:val="24"/>
          <w:szCs w:val="24"/>
          <w:lang w:val="pl-PL"/>
        </w:rPr>
        <w:br/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na strategię przedsiębiorstwa, powinien być rozpatrywany tak wcześnie, jak to możliwe. Europejskie Federacje Związków Zawodowych opowiadają się za prawdziwym </w:t>
      </w:r>
      <w:r w:rsidRPr="00346111">
        <w:rPr>
          <w:rFonts w:ascii="Times New Roman" w:hAnsi="Times New Roman"/>
          <w:b/>
          <w:bCs/>
          <w:sz w:val="24"/>
          <w:szCs w:val="24"/>
          <w:lang w:val="pl-PL"/>
        </w:rPr>
        <w:t>przewidywaniem zmian i zarządzaniem nimi w sposób odpowiedzialny społecznie</w:t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 i nie pozwolą, aby </w:t>
      </w:r>
      <w:r w:rsidR="00CD72E7" w:rsidRPr="00346111">
        <w:rPr>
          <w:rFonts w:ascii="Times New Roman" w:hAnsi="Times New Roman"/>
          <w:bCs/>
          <w:sz w:val="24"/>
          <w:szCs w:val="24"/>
          <w:lang w:val="pl-PL"/>
        </w:rPr>
        <w:t>przedsiębiorstwa</w:t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CD72E7" w:rsidRPr="00346111">
        <w:rPr>
          <w:rFonts w:ascii="Times New Roman" w:hAnsi="Times New Roman"/>
          <w:bCs/>
          <w:sz w:val="24"/>
          <w:szCs w:val="24"/>
          <w:lang w:val="pl-PL"/>
        </w:rPr>
        <w:t>ponadnarodowe</w:t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 wykorzystały Brexit, jako pretekst </w:t>
      </w:r>
      <w:r w:rsidR="000D5F01">
        <w:rPr>
          <w:rFonts w:ascii="Times New Roman" w:hAnsi="Times New Roman"/>
          <w:bCs/>
          <w:sz w:val="24"/>
          <w:szCs w:val="24"/>
          <w:lang w:val="pl-PL"/>
        </w:rPr>
        <w:br/>
      </w:r>
      <w:r w:rsidRPr="00346111">
        <w:rPr>
          <w:rFonts w:ascii="Times New Roman" w:hAnsi="Times New Roman"/>
          <w:bCs/>
          <w:sz w:val="24"/>
          <w:szCs w:val="24"/>
          <w:lang w:val="pl-PL"/>
        </w:rPr>
        <w:t xml:space="preserve">do rozpoczęcia ataków na warunki zatrudnienia. </w:t>
      </w:r>
    </w:p>
    <w:p w14:paraId="2420BA69" w14:textId="77777777" w:rsidR="008C0E8C" w:rsidRPr="00A132BF" w:rsidRDefault="008C0E8C" w:rsidP="008C0E8C">
      <w:pPr>
        <w:ind w:left="284"/>
        <w:jc w:val="both"/>
        <w:rPr>
          <w:rFonts w:ascii="Times New Roman" w:hAnsi="Times New Roman"/>
          <w:bCs/>
          <w:lang w:val="pl-PL"/>
        </w:rPr>
      </w:pPr>
    </w:p>
    <w:p w14:paraId="169C1674" w14:textId="71595E33" w:rsidR="008C0E8C" w:rsidRPr="000D5F01" w:rsidRDefault="008C0E8C" w:rsidP="008C0E8C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0D5F01">
        <w:rPr>
          <w:rFonts w:ascii="Times New Roman" w:hAnsi="Times New Roman"/>
          <w:bCs/>
          <w:sz w:val="24"/>
          <w:szCs w:val="24"/>
          <w:lang w:val="pl-PL"/>
        </w:rPr>
        <w:t xml:space="preserve">Skala wyzwania wymaga </w:t>
      </w:r>
      <w:r w:rsidR="00F9105A" w:rsidRPr="000D5F01">
        <w:rPr>
          <w:rFonts w:ascii="Times New Roman" w:hAnsi="Times New Roman"/>
          <w:bCs/>
          <w:sz w:val="24"/>
          <w:szCs w:val="24"/>
          <w:lang w:val="pl-PL"/>
        </w:rPr>
        <w:t>szczególnej</w:t>
      </w:r>
      <w:r w:rsidRPr="000D5F01">
        <w:rPr>
          <w:rFonts w:ascii="Times New Roman" w:hAnsi="Times New Roman"/>
          <w:bCs/>
          <w:sz w:val="24"/>
          <w:szCs w:val="24"/>
          <w:lang w:val="pl-PL"/>
        </w:rPr>
        <w:t xml:space="preserve"> uwagi: ponad 700 </w:t>
      </w:r>
      <w:r w:rsidR="000D5F01" w:rsidRPr="000D5F01">
        <w:rPr>
          <w:rFonts w:ascii="Times New Roman" w:hAnsi="Times New Roman"/>
          <w:bCs/>
          <w:sz w:val="24"/>
          <w:szCs w:val="24"/>
          <w:lang w:val="pl-PL"/>
        </w:rPr>
        <w:t>ponadnarodowych przedsiębiorstw</w:t>
      </w:r>
      <w:r w:rsidRPr="000D5F01">
        <w:rPr>
          <w:rFonts w:ascii="Times New Roman" w:hAnsi="Times New Roman"/>
          <w:bCs/>
          <w:sz w:val="24"/>
          <w:szCs w:val="24"/>
          <w:lang w:val="pl-PL"/>
        </w:rPr>
        <w:t xml:space="preserve">, które ustanowiły ERZ lub przyjęły statut SE, prowadzi działalność w Wielkiej Brytanii; co najmniej </w:t>
      </w:r>
      <w:r w:rsidR="000D5F01">
        <w:rPr>
          <w:rFonts w:ascii="Times New Roman" w:hAnsi="Times New Roman"/>
          <w:bCs/>
          <w:sz w:val="24"/>
          <w:szCs w:val="24"/>
          <w:lang w:val="pl-PL"/>
        </w:rPr>
        <w:br/>
      </w:r>
      <w:r w:rsidRPr="000D5F01">
        <w:rPr>
          <w:rFonts w:ascii="Times New Roman" w:hAnsi="Times New Roman"/>
          <w:bCs/>
          <w:sz w:val="24"/>
          <w:szCs w:val="24"/>
          <w:lang w:val="pl-PL"/>
        </w:rPr>
        <w:t xml:space="preserve">2 400 przedstawicieli brytyjskich pracowników w ERZ i SE zastanawia się nad swoją przyszłością; a sytuacja prawna ok. 140 ERZ i SE opartych na brytyjskich ustawach transponujących dyrektywy o ERZ i SE ulegnie zmianie. </w:t>
      </w:r>
    </w:p>
    <w:p w14:paraId="7D161E7A" w14:textId="77777777" w:rsidR="008C0E8C" w:rsidRPr="00A132BF" w:rsidRDefault="008C0E8C" w:rsidP="008C0E8C">
      <w:pPr>
        <w:jc w:val="both"/>
        <w:rPr>
          <w:rFonts w:ascii="Times New Roman" w:hAnsi="Times New Roman"/>
          <w:b/>
          <w:bCs/>
          <w:lang w:val="pl-PL"/>
        </w:rPr>
      </w:pPr>
    </w:p>
    <w:p w14:paraId="549C3351" w14:textId="6B86E544" w:rsidR="008C0E8C" w:rsidRPr="005D030F" w:rsidRDefault="008C0E8C" w:rsidP="008C0E8C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5D030F">
        <w:rPr>
          <w:rFonts w:ascii="Times New Roman" w:hAnsi="Times New Roman"/>
          <w:b/>
          <w:bCs/>
          <w:sz w:val="24"/>
          <w:szCs w:val="24"/>
          <w:lang w:val="pl-PL"/>
        </w:rPr>
        <w:t>Teraz jest czas na działanie</w:t>
      </w:r>
      <w:r w:rsidRPr="005D030F">
        <w:rPr>
          <w:rFonts w:ascii="Times New Roman" w:hAnsi="Times New Roman"/>
          <w:bCs/>
          <w:sz w:val="24"/>
          <w:szCs w:val="24"/>
          <w:lang w:val="pl-PL"/>
        </w:rPr>
        <w:t xml:space="preserve">. Europejskie Federacje Związków Zawodowych wspólnie przyjęły, </w:t>
      </w:r>
      <w:r w:rsidR="0019621B" w:rsidRPr="005D030F">
        <w:rPr>
          <w:rFonts w:ascii="Times New Roman" w:hAnsi="Times New Roman"/>
          <w:bCs/>
          <w:sz w:val="24"/>
          <w:szCs w:val="24"/>
          <w:lang w:val="pl-PL"/>
        </w:rPr>
        <w:br/>
      </w:r>
      <w:r w:rsidRPr="005D030F">
        <w:rPr>
          <w:rFonts w:ascii="Times New Roman" w:hAnsi="Times New Roman"/>
          <w:bCs/>
          <w:sz w:val="24"/>
          <w:szCs w:val="24"/>
          <w:lang w:val="pl-PL"/>
        </w:rPr>
        <w:t xml:space="preserve">a następnie zaktualizowały poniższe zalecenia dla koordynatorów ERZ i SE, </w:t>
      </w:r>
      <w:r w:rsidR="005D030F" w:rsidRPr="005D030F">
        <w:rPr>
          <w:rFonts w:ascii="Times New Roman" w:hAnsi="Times New Roman"/>
          <w:bCs/>
          <w:sz w:val="24"/>
          <w:szCs w:val="24"/>
          <w:lang w:val="pl-PL"/>
        </w:rPr>
        <w:t>a także</w:t>
      </w:r>
      <w:r w:rsidRPr="005D030F">
        <w:rPr>
          <w:rFonts w:ascii="Times New Roman" w:hAnsi="Times New Roman"/>
          <w:bCs/>
          <w:sz w:val="24"/>
          <w:szCs w:val="24"/>
          <w:lang w:val="pl-PL"/>
        </w:rPr>
        <w:t xml:space="preserve"> przedstawicieli pracowników w ERZ, ERZ i SE. </w:t>
      </w:r>
    </w:p>
    <w:p w14:paraId="48400D2C" w14:textId="5C463AB5" w:rsidR="00CF031E" w:rsidRPr="00A132BF" w:rsidRDefault="00CF031E" w:rsidP="00DC2E57">
      <w:pPr>
        <w:rPr>
          <w:rFonts w:ascii="Times New Roman" w:hAnsi="Times New Roman"/>
          <w:lang w:val="pl-PL"/>
        </w:rPr>
      </w:pPr>
    </w:p>
    <w:p w14:paraId="453708A1" w14:textId="77777777" w:rsidR="00026722" w:rsidRPr="00A132BF" w:rsidRDefault="00026722" w:rsidP="00026722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7B917003" w14:textId="53AA43F7" w:rsidR="00026722" w:rsidRPr="00A132BF" w:rsidRDefault="00026722" w:rsidP="00026722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#</w:t>
      </w:r>
      <w:r w:rsidR="00327CA4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1</w:t>
      </w: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. </w:t>
      </w:r>
      <w:r w:rsidR="000D2C43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Jeśli przedstawiciele UK zasiadają w Twojej ERZ, SE </w:t>
      </w:r>
      <w:r w:rsid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br/>
      </w:r>
      <w:r w:rsidR="000D2C43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lub </w:t>
      </w:r>
      <w:r w:rsidR="00EA79A3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organie zarządzającym</w:t>
      </w:r>
      <w:r w:rsidR="000D2C43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 SE</w:t>
      </w: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:</w:t>
      </w:r>
    </w:p>
    <w:p w14:paraId="15831E80" w14:textId="10193712" w:rsidR="00026722" w:rsidRPr="00A132BF" w:rsidRDefault="000D2C43" w:rsidP="00026722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Zabezpiecz ich prawa</w:t>
      </w:r>
    </w:p>
    <w:p w14:paraId="2A237B00" w14:textId="77777777" w:rsidR="00026722" w:rsidRPr="00A132BF" w:rsidRDefault="00026722" w:rsidP="00DB36BF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5F4BE4BB" w14:textId="77777777" w:rsidR="00026722" w:rsidRPr="00A132BF" w:rsidRDefault="00026722" w:rsidP="00026722">
      <w:pPr>
        <w:rPr>
          <w:rFonts w:ascii="Times New Roman" w:hAnsi="Times New Roman"/>
          <w:lang w:val="pl-PL"/>
        </w:rPr>
      </w:pPr>
    </w:p>
    <w:p w14:paraId="0A89AF8C" w14:textId="722D6626" w:rsidR="0019621B" w:rsidRPr="00280216" w:rsidRDefault="0019621B" w:rsidP="0019621B">
      <w:pPr>
        <w:rPr>
          <w:rFonts w:ascii="Times New Roman" w:hAnsi="Times New Roman"/>
          <w:sz w:val="24"/>
          <w:szCs w:val="24"/>
          <w:lang w:val="pl-PL"/>
        </w:rPr>
      </w:pPr>
      <w:r w:rsidRPr="00280216">
        <w:rPr>
          <w:rFonts w:ascii="Times New Roman" w:hAnsi="Times New Roman"/>
          <w:sz w:val="24"/>
          <w:szCs w:val="24"/>
          <w:lang w:val="pl-PL"/>
        </w:rPr>
        <w:t xml:space="preserve">31 grudnia 2020 r. Rząd Wielkiej Brytanii wydał wytyczne dotyczące udziału Wielkiej Brytanii </w:t>
      </w:r>
      <w:r w:rsidR="007E5B70">
        <w:rPr>
          <w:rFonts w:ascii="Times New Roman" w:hAnsi="Times New Roman"/>
          <w:sz w:val="24"/>
          <w:szCs w:val="24"/>
          <w:lang w:val="pl-PL"/>
        </w:rPr>
        <w:br/>
      </w:r>
      <w:r w:rsidRPr="00280216">
        <w:rPr>
          <w:rFonts w:ascii="Times New Roman" w:hAnsi="Times New Roman"/>
          <w:sz w:val="24"/>
          <w:szCs w:val="24"/>
          <w:lang w:val="pl-PL"/>
        </w:rPr>
        <w:t>w ERZ po ratyfikacji Umowy o handlu i współpracy UE-Wielka Brytania. Wytyczne stanowią, że:</w:t>
      </w:r>
    </w:p>
    <w:p w14:paraId="4BCBB0DA" w14:textId="5F204CDF" w:rsidR="00A66E5D" w:rsidRPr="0019621B" w:rsidRDefault="00A66E5D" w:rsidP="00B51249">
      <w:pPr>
        <w:jc w:val="center"/>
        <w:rPr>
          <w:lang w:val="pl-PL"/>
        </w:rPr>
      </w:pPr>
      <w:r>
        <w:rPr>
          <w:noProof/>
          <w:lang w:val="pl-PL" w:eastAsia="pl-PL"/>
        </w:rPr>
        <w:lastRenderedPageBreak/>
        <w:drawing>
          <wp:inline distT="0" distB="0" distL="0" distR="0" wp14:anchorId="3DB8BB09" wp14:editId="63A9D17D">
            <wp:extent cx="5054349" cy="3467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9"/>
                    <a:stretch/>
                  </pic:blipFill>
                  <pic:spPr bwMode="auto">
                    <a:xfrm>
                      <a:off x="0" y="0"/>
                      <a:ext cx="5071452" cy="34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A0A90" w14:textId="77777777" w:rsidR="0019621B" w:rsidRDefault="0019621B" w:rsidP="000F6E59">
      <w:pPr>
        <w:ind w:left="709" w:hanging="709"/>
        <w:jc w:val="both"/>
        <w:rPr>
          <w:b/>
          <w:bCs/>
          <w:u w:val="single"/>
          <w:lang w:val="fr-FR"/>
        </w:rPr>
      </w:pPr>
    </w:p>
    <w:p w14:paraId="1A6758D7" w14:textId="6C252FE7" w:rsidR="000F6E59" w:rsidRPr="00A132BF" w:rsidRDefault="0019621B" w:rsidP="000F6E59">
      <w:pPr>
        <w:ind w:left="709" w:hanging="709"/>
        <w:jc w:val="both"/>
        <w:rPr>
          <w:rFonts w:ascii="Times New Roman" w:hAnsi="Times New Roman"/>
          <w:lang w:val="fr-FR"/>
        </w:rPr>
      </w:pPr>
      <w:r w:rsidRPr="00A132BF">
        <w:rPr>
          <w:rFonts w:ascii="Times New Roman" w:hAnsi="Times New Roman"/>
          <w:b/>
          <w:bCs/>
          <w:u w:val="single"/>
          <w:lang w:val="fr-FR"/>
        </w:rPr>
        <w:t>Źródło</w:t>
      </w:r>
      <w:r w:rsidR="000F6E59" w:rsidRPr="00A132BF">
        <w:rPr>
          <w:rFonts w:ascii="Times New Roman" w:hAnsi="Times New Roman"/>
          <w:b/>
          <w:bCs/>
          <w:u w:val="single"/>
          <w:lang w:val="fr-FR"/>
        </w:rPr>
        <w:t>:</w:t>
      </w:r>
      <w:r w:rsidR="000F6E59" w:rsidRPr="00A132BF">
        <w:rPr>
          <w:rFonts w:ascii="Times New Roman" w:hAnsi="Times New Roman"/>
          <w:lang w:val="fr-FR"/>
        </w:rPr>
        <w:t xml:space="preserve"> </w:t>
      </w:r>
      <w:hyperlink r:id="rId11" w:history="1">
        <w:r w:rsidR="00FA6123" w:rsidRPr="00FA6123">
          <w:rPr>
            <w:rStyle w:val="Hipercze"/>
            <w:rFonts w:ascii="Times New Roman" w:hAnsi="Times New Roman"/>
            <w:lang w:val="fr-FR"/>
          </w:rPr>
          <w:t>https://www.gov.uk/guidance/participating-in-a-eur</w:t>
        </w:r>
        <w:r w:rsidR="00FA6123" w:rsidRPr="00FA6123">
          <w:rPr>
            <w:rStyle w:val="Hipercze"/>
            <w:rFonts w:ascii="Times New Roman" w:hAnsi="Times New Roman"/>
            <w:lang w:val="fr-FR"/>
          </w:rPr>
          <w:t>o</w:t>
        </w:r>
        <w:r w:rsidR="00FA6123" w:rsidRPr="00FA6123">
          <w:rPr>
            <w:rStyle w:val="Hipercze"/>
            <w:rFonts w:ascii="Times New Roman" w:hAnsi="Times New Roman"/>
            <w:lang w:val="fr-FR"/>
          </w:rPr>
          <w:t>pean-works-council</w:t>
        </w:r>
      </w:hyperlink>
    </w:p>
    <w:p w14:paraId="46673FF7" w14:textId="7989D14E" w:rsidR="000F6E59" w:rsidRPr="00A132BF" w:rsidRDefault="00F74A1D" w:rsidP="00B51249">
      <w:pPr>
        <w:ind w:left="709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>k</w:t>
      </w:r>
      <w:r w:rsidR="004A0E99" w:rsidRPr="00A132BF">
        <w:rPr>
          <w:rFonts w:ascii="Times New Roman" w:hAnsi="Times New Roman"/>
          <w:lang w:val="pl-PL"/>
        </w:rPr>
        <w:t>onsultowane</w:t>
      </w:r>
      <w:r w:rsidRPr="00A132BF">
        <w:rPr>
          <w:rFonts w:ascii="Times New Roman" w:hAnsi="Times New Roman"/>
          <w:lang w:val="pl-PL"/>
        </w:rPr>
        <w:t xml:space="preserve"> 7 stycznia </w:t>
      </w:r>
      <w:r w:rsidR="000F6E59" w:rsidRPr="00A132BF">
        <w:rPr>
          <w:rFonts w:ascii="Times New Roman" w:hAnsi="Times New Roman"/>
          <w:lang w:val="pl-PL"/>
        </w:rPr>
        <w:t>2021</w:t>
      </w:r>
      <w:r w:rsidR="00A132BF">
        <w:rPr>
          <w:rFonts w:ascii="Times New Roman" w:hAnsi="Times New Roman"/>
          <w:lang w:val="pl-PL"/>
        </w:rPr>
        <w:t>r.</w:t>
      </w:r>
    </w:p>
    <w:p w14:paraId="7F382B05" w14:textId="77777777" w:rsidR="004A0E99" w:rsidRPr="00A132BF" w:rsidRDefault="004A0E99" w:rsidP="00DB36BF">
      <w:pPr>
        <w:spacing w:line="259" w:lineRule="auto"/>
        <w:jc w:val="both"/>
        <w:rPr>
          <w:rFonts w:ascii="Times New Roman" w:hAnsi="Times New Roman"/>
          <w:lang w:val="pl-PL"/>
        </w:rPr>
      </w:pPr>
    </w:p>
    <w:p w14:paraId="22DA3122" w14:textId="1CD97626" w:rsidR="00F74A1D" w:rsidRPr="00C308E3" w:rsidRDefault="00F74A1D" w:rsidP="00DB36BF">
      <w:pPr>
        <w:spacing w:line="259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308E3">
        <w:rPr>
          <w:rFonts w:ascii="Times New Roman" w:hAnsi="Times New Roman"/>
          <w:sz w:val="24"/>
          <w:szCs w:val="24"/>
          <w:lang w:val="pl-PL"/>
        </w:rPr>
        <w:t>Aby w jak najlepszy sposób zape</w:t>
      </w:r>
      <w:r w:rsidR="00E41AA7" w:rsidRPr="00C308E3">
        <w:rPr>
          <w:rFonts w:ascii="Times New Roman" w:hAnsi="Times New Roman"/>
          <w:sz w:val="24"/>
          <w:szCs w:val="24"/>
          <w:lang w:val="pl-PL"/>
        </w:rPr>
        <w:t>wnić reprezentację brytyjskich pracowników</w:t>
      </w:r>
      <w:r w:rsidRPr="00C308E3">
        <w:rPr>
          <w:rFonts w:ascii="Times New Roman" w:hAnsi="Times New Roman"/>
          <w:sz w:val="24"/>
          <w:szCs w:val="24"/>
          <w:lang w:val="pl-PL"/>
        </w:rPr>
        <w:t xml:space="preserve"> w ERZ i </w:t>
      </w:r>
      <w:r w:rsidR="00E41AA7" w:rsidRPr="00C308E3">
        <w:rPr>
          <w:rFonts w:ascii="Times New Roman" w:hAnsi="Times New Roman"/>
          <w:sz w:val="24"/>
          <w:szCs w:val="24"/>
          <w:lang w:val="pl-PL"/>
        </w:rPr>
        <w:t xml:space="preserve">radach pracowników </w:t>
      </w:r>
      <w:r w:rsidRPr="00C308E3">
        <w:rPr>
          <w:rFonts w:ascii="Times New Roman" w:hAnsi="Times New Roman"/>
          <w:sz w:val="24"/>
          <w:szCs w:val="24"/>
          <w:lang w:val="pl-PL"/>
        </w:rPr>
        <w:t xml:space="preserve">SE, a także w </w:t>
      </w:r>
      <w:r w:rsidR="00C308E3" w:rsidRPr="00C308E3">
        <w:rPr>
          <w:rFonts w:ascii="Times New Roman" w:hAnsi="Times New Roman"/>
          <w:sz w:val="24"/>
          <w:szCs w:val="24"/>
          <w:lang w:val="pl-PL"/>
        </w:rPr>
        <w:t>organach zarządzających</w:t>
      </w:r>
      <w:r w:rsidRPr="00C308E3">
        <w:rPr>
          <w:rFonts w:ascii="Times New Roman" w:hAnsi="Times New Roman"/>
          <w:sz w:val="24"/>
          <w:szCs w:val="24"/>
          <w:lang w:val="pl-PL"/>
        </w:rPr>
        <w:t xml:space="preserve"> SE (w stosownych przypadkach), Europejskie Federacje Związków Zawodowych zalecają dostosowanie Porozumienia ERZ/SE zgodnie </w:t>
      </w:r>
      <w:r w:rsidR="00934A18">
        <w:rPr>
          <w:rFonts w:ascii="Times New Roman" w:hAnsi="Times New Roman"/>
          <w:sz w:val="24"/>
          <w:szCs w:val="24"/>
          <w:lang w:val="pl-PL"/>
        </w:rPr>
        <w:br/>
      </w:r>
      <w:r w:rsidRPr="00C308E3">
        <w:rPr>
          <w:rFonts w:ascii="Times New Roman" w:hAnsi="Times New Roman"/>
          <w:sz w:val="24"/>
          <w:szCs w:val="24"/>
          <w:lang w:val="pl-PL"/>
        </w:rPr>
        <w:t>z następującym</w:t>
      </w:r>
      <w:r w:rsidR="00E41AA7" w:rsidRPr="00C308E3">
        <w:rPr>
          <w:rFonts w:ascii="Times New Roman" w:hAnsi="Times New Roman"/>
          <w:sz w:val="24"/>
          <w:szCs w:val="24"/>
          <w:lang w:val="pl-PL"/>
        </w:rPr>
        <w:t>,</w:t>
      </w:r>
      <w:r w:rsidRPr="00C308E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308E3">
        <w:rPr>
          <w:rFonts w:ascii="Times New Roman" w:hAnsi="Times New Roman"/>
          <w:b/>
          <w:sz w:val="24"/>
          <w:szCs w:val="24"/>
          <w:lang w:val="pl-PL"/>
        </w:rPr>
        <w:t>elastycznym podejściem do każdego przypadku.</w:t>
      </w:r>
    </w:p>
    <w:p w14:paraId="56F5CCB7" w14:textId="77777777" w:rsidR="00DB36BF" w:rsidRPr="00A132BF" w:rsidRDefault="00DB36BF" w:rsidP="00DB36BF">
      <w:pPr>
        <w:spacing w:line="259" w:lineRule="auto"/>
        <w:jc w:val="both"/>
        <w:rPr>
          <w:rFonts w:ascii="Times New Roman" w:hAnsi="Times New Roman"/>
          <w:b/>
          <w:bCs/>
          <w:lang w:val="pl-PL"/>
        </w:rPr>
      </w:pPr>
    </w:p>
    <w:p w14:paraId="25F98721" w14:textId="7848B31F" w:rsidR="005E23AB" w:rsidRPr="00934A18" w:rsidRDefault="00E41AA7" w:rsidP="005E23AB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934A18">
        <w:rPr>
          <w:rFonts w:ascii="Times New Roman" w:hAnsi="Times New Roman"/>
          <w:b/>
          <w:bCs/>
          <w:color w:val="0070C0"/>
          <w:sz w:val="24"/>
          <w:szCs w:val="24"/>
          <w:lang w:val="pl-PL"/>
        </w:rPr>
        <w:t>Krok</w:t>
      </w:r>
      <w:r w:rsidR="00DB36BF" w:rsidRPr="00934A18">
        <w:rPr>
          <w:rFonts w:ascii="Times New Roman" w:hAnsi="Times New Roman"/>
          <w:b/>
          <w:bCs/>
          <w:color w:val="0070C0"/>
          <w:sz w:val="24"/>
          <w:szCs w:val="24"/>
          <w:lang w:val="pl-PL"/>
        </w:rPr>
        <w:t xml:space="preserve"> 1: </w:t>
      </w:r>
      <w:r w:rsidR="005E23AB" w:rsidRPr="00934A18">
        <w:rPr>
          <w:rFonts w:ascii="Times New Roman" w:hAnsi="Times New Roman"/>
          <w:b/>
          <w:color w:val="0070C0"/>
          <w:sz w:val="24"/>
          <w:szCs w:val="24"/>
          <w:lang w:val="pl-PL"/>
        </w:rPr>
        <w:t xml:space="preserve">Dokonaj przeglądu porozumienia o ERZ/SE, aby sprawdzić, czy wymaga </w:t>
      </w:r>
      <w:r w:rsidR="006402B9">
        <w:rPr>
          <w:rFonts w:ascii="Times New Roman" w:hAnsi="Times New Roman"/>
          <w:b/>
          <w:color w:val="0070C0"/>
          <w:sz w:val="24"/>
          <w:szCs w:val="24"/>
          <w:lang w:val="pl-PL"/>
        </w:rPr>
        <w:br/>
      </w:r>
      <w:r w:rsidR="005E23AB" w:rsidRPr="00934A18">
        <w:rPr>
          <w:rFonts w:ascii="Times New Roman" w:hAnsi="Times New Roman"/>
          <w:b/>
          <w:color w:val="0070C0"/>
          <w:sz w:val="24"/>
          <w:szCs w:val="24"/>
          <w:lang w:val="pl-PL"/>
        </w:rPr>
        <w:t>ono dostosowania</w:t>
      </w:r>
    </w:p>
    <w:p w14:paraId="30A06611" w14:textId="47429DF3" w:rsidR="00934A18" w:rsidRPr="00934A18" w:rsidRDefault="00934A18" w:rsidP="002C6233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934A18">
        <w:rPr>
          <w:rFonts w:ascii="Times New Roman" w:hAnsi="Times New Roman"/>
          <w:sz w:val="24"/>
          <w:szCs w:val="24"/>
          <w:lang w:val="pl-PL"/>
        </w:rPr>
        <w:t xml:space="preserve">Niektóre porozumienia zawierają już postanowienia dotyczące reprezentacji krajów spoza Europejskiego Obszaru Gospodarczego (EOG), których przedstawiciele korzystają z takich samych praw, przywilejów i ochrony jak inni członkowie ERZ, SE lub organu SE. W tym przypadku dostosowanie może nie być konieczne. </w:t>
      </w:r>
    </w:p>
    <w:p w14:paraId="29696CDB" w14:textId="180CAC8B" w:rsidR="002C6233" w:rsidRPr="00934A18" w:rsidRDefault="002C6233" w:rsidP="002C6233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934A18">
        <w:rPr>
          <w:rFonts w:ascii="Times New Roman" w:hAnsi="Times New Roman"/>
          <w:sz w:val="24"/>
          <w:szCs w:val="24"/>
          <w:lang w:val="pl-PL"/>
        </w:rPr>
        <w:t xml:space="preserve">Jeżeli przedstawiciele państw spoza EOG zasiadają w ERZ, SE lub </w:t>
      </w:r>
      <w:r w:rsidR="00934A18" w:rsidRPr="00934A18">
        <w:rPr>
          <w:rFonts w:ascii="Times New Roman" w:hAnsi="Times New Roman"/>
          <w:sz w:val="24"/>
          <w:szCs w:val="24"/>
          <w:lang w:val="pl-PL"/>
        </w:rPr>
        <w:t>organie</w:t>
      </w:r>
      <w:r w:rsidRPr="00934A18">
        <w:rPr>
          <w:rFonts w:ascii="Times New Roman" w:hAnsi="Times New Roman"/>
          <w:sz w:val="24"/>
          <w:szCs w:val="24"/>
          <w:lang w:val="pl-PL"/>
        </w:rPr>
        <w:t xml:space="preserve"> SE tylko w charakterze obserwatorów lub bez takich samych praw</w:t>
      </w:r>
      <w:r w:rsidR="00934A18" w:rsidRPr="00934A18">
        <w:rPr>
          <w:rFonts w:ascii="Times New Roman" w:hAnsi="Times New Roman"/>
          <w:sz w:val="24"/>
          <w:szCs w:val="24"/>
          <w:lang w:val="pl-PL"/>
        </w:rPr>
        <w:t>,</w:t>
      </w:r>
      <w:r w:rsidRPr="00934A18">
        <w:rPr>
          <w:rFonts w:ascii="Times New Roman" w:hAnsi="Times New Roman"/>
          <w:sz w:val="24"/>
          <w:szCs w:val="24"/>
          <w:lang w:val="pl-PL"/>
        </w:rPr>
        <w:t xml:space="preserve"> jak pozostali członkowie, wówczas zastosowanie </w:t>
      </w:r>
      <w:r w:rsidR="006402B9">
        <w:rPr>
          <w:rFonts w:ascii="Times New Roman" w:hAnsi="Times New Roman"/>
          <w:sz w:val="24"/>
          <w:szCs w:val="24"/>
          <w:lang w:val="pl-PL"/>
        </w:rPr>
        <w:br/>
      </w:r>
      <w:r w:rsidRPr="00934A18">
        <w:rPr>
          <w:rFonts w:ascii="Times New Roman" w:hAnsi="Times New Roman"/>
          <w:sz w:val="24"/>
          <w:szCs w:val="24"/>
          <w:lang w:val="pl-PL"/>
        </w:rPr>
        <w:t xml:space="preserve">ma krok 2 (poniżej). </w:t>
      </w:r>
    </w:p>
    <w:p w14:paraId="49F89AB9" w14:textId="77777777" w:rsidR="00DB36BF" w:rsidRPr="00A132BF" w:rsidRDefault="00DB36BF" w:rsidP="00DB36BF">
      <w:pPr>
        <w:jc w:val="both"/>
        <w:rPr>
          <w:rFonts w:ascii="Times New Roman" w:hAnsi="Times New Roman"/>
          <w:lang w:val="pl-PL"/>
        </w:rPr>
      </w:pPr>
    </w:p>
    <w:p w14:paraId="18A3F3F1" w14:textId="11621F3A" w:rsidR="002C6233" w:rsidRPr="00934A18" w:rsidRDefault="002C6233" w:rsidP="002C6233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934A18">
        <w:rPr>
          <w:rFonts w:ascii="Times New Roman" w:hAnsi="Times New Roman"/>
          <w:b/>
          <w:color w:val="0070C0"/>
          <w:sz w:val="24"/>
          <w:szCs w:val="24"/>
          <w:lang w:val="pl-PL"/>
        </w:rPr>
        <w:t>Krok 2: W przypadkach, w których konieczne jest dostosowanie</w:t>
      </w:r>
      <w:r w:rsidRPr="00934A18">
        <w:rPr>
          <w:rFonts w:ascii="Times New Roman" w:hAnsi="Times New Roman"/>
          <w:sz w:val="24"/>
          <w:szCs w:val="24"/>
          <w:lang w:val="pl-PL"/>
        </w:rPr>
        <w:t>, ważne jest określenie zakresu zmiany poprzez zmianę Porozumienia ERZ/SE (co można również uczynić w aneksie). Europejskie Federacje Związków Zawodowych proponują następującą klauzulę, która może być dostosowana do specyficznych potrzeb danej ERZ/SE:</w:t>
      </w:r>
    </w:p>
    <w:p w14:paraId="185C4D84" w14:textId="77777777" w:rsidR="00B01C45" w:rsidRPr="00A132BF" w:rsidRDefault="00B01C45" w:rsidP="00DB36BF">
      <w:pPr>
        <w:tabs>
          <w:tab w:val="left" w:pos="3930"/>
        </w:tabs>
        <w:jc w:val="both"/>
        <w:rPr>
          <w:rFonts w:ascii="Times New Roman" w:hAnsi="Times New Roman"/>
          <w:lang w:val="pl-PL"/>
        </w:rPr>
      </w:pPr>
    </w:p>
    <w:p w14:paraId="2DDB3C68" w14:textId="50451001" w:rsidR="004A0E99" w:rsidRPr="00934A18" w:rsidRDefault="002C6233" w:rsidP="00597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both"/>
        <w:rPr>
          <w:rFonts w:ascii="Times New Roman" w:hAnsi="Times New Roman"/>
          <w:sz w:val="24"/>
          <w:szCs w:val="24"/>
          <w:lang w:val="pl-PL"/>
        </w:rPr>
      </w:pPr>
      <w:r w:rsidRPr="00934A18">
        <w:rPr>
          <w:rFonts w:ascii="Times New Roman" w:hAnsi="Times New Roman"/>
          <w:sz w:val="24"/>
          <w:szCs w:val="24"/>
          <w:lang w:val="pl-PL"/>
        </w:rPr>
        <w:t xml:space="preserve">Strony uzgadniają, że Zjednoczone Królestwo będzie nadal w pełni objęte niniejszym Porozumieniem, a ERZ [Rada Pracowników SE] pozostanie organem właściwym </w:t>
      </w:r>
      <w:r w:rsidR="00D93510">
        <w:rPr>
          <w:rFonts w:ascii="Times New Roman" w:hAnsi="Times New Roman"/>
          <w:sz w:val="24"/>
          <w:szCs w:val="24"/>
          <w:lang w:val="pl-PL"/>
        </w:rPr>
        <w:br/>
      </w:r>
      <w:r w:rsidRPr="00934A18">
        <w:rPr>
          <w:rFonts w:ascii="Times New Roman" w:hAnsi="Times New Roman"/>
          <w:sz w:val="24"/>
          <w:szCs w:val="24"/>
          <w:lang w:val="pl-PL"/>
        </w:rPr>
        <w:t xml:space="preserve">dla wszystkich kwestii ponadnarodowych dotyczących Zjednoczonego Królestwa. </w:t>
      </w:r>
    </w:p>
    <w:p w14:paraId="1C69AB7D" w14:textId="07C4CF70" w:rsidR="00597686" w:rsidRPr="00934A18" w:rsidRDefault="00597686" w:rsidP="00597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both"/>
        <w:rPr>
          <w:rFonts w:ascii="Times New Roman" w:hAnsi="Times New Roman"/>
          <w:sz w:val="24"/>
          <w:szCs w:val="24"/>
          <w:lang w:val="pl-PL"/>
        </w:rPr>
      </w:pPr>
      <w:r w:rsidRPr="00934A18">
        <w:rPr>
          <w:rFonts w:ascii="Times New Roman" w:hAnsi="Times New Roman"/>
          <w:sz w:val="24"/>
          <w:szCs w:val="24"/>
          <w:lang w:val="pl-PL"/>
        </w:rPr>
        <w:t xml:space="preserve">Członkowie ERZ [Rady Pracowników SE] ze Zjednoczonego Królestwa będą nadal korzystać z tych samych </w:t>
      </w:r>
      <w:r w:rsidR="00934A18" w:rsidRPr="00934A18">
        <w:rPr>
          <w:rFonts w:ascii="Times New Roman" w:hAnsi="Times New Roman"/>
          <w:sz w:val="24"/>
          <w:szCs w:val="24"/>
          <w:lang w:val="pl-PL"/>
        </w:rPr>
        <w:t>przywilejów</w:t>
      </w:r>
      <w:r w:rsidRPr="00934A18">
        <w:rPr>
          <w:rFonts w:ascii="Times New Roman" w:hAnsi="Times New Roman"/>
          <w:sz w:val="24"/>
          <w:szCs w:val="24"/>
          <w:lang w:val="pl-PL"/>
        </w:rPr>
        <w:t xml:space="preserve">, praw i ochrony, co inni członkowie ERZ [Rady Pracowników SE], zgodnie z niniejszym Porozumieniem. </w:t>
      </w:r>
    </w:p>
    <w:p w14:paraId="15178832" w14:textId="77777777" w:rsidR="00EC231C" w:rsidRPr="00A132BF" w:rsidRDefault="00EC231C" w:rsidP="00DB36BF">
      <w:pPr>
        <w:jc w:val="both"/>
        <w:rPr>
          <w:rFonts w:ascii="Times New Roman" w:hAnsi="Times New Roman"/>
          <w:bCs/>
          <w:lang w:val="pl-PL"/>
        </w:rPr>
      </w:pPr>
    </w:p>
    <w:p w14:paraId="581D4B80" w14:textId="77777777" w:rsidR="001E53E1" w:rsidRDefault="001E53E1" w:rsidP="001E53E1">
      <w:pPr>
        <w:jc w:val="both"/>
        <w:rPr>
          <w:rFonts w:ascii="Times New Roman" w:hAnsi="Times New Roman"/>
          <w:bCs/>
          <w:lang w:val="pl-PL"/>
        </w:rPr>
      </w:pPr>
      <w:r w:rsidRPr="001E53E1">
        <w:rPr>
          <w:rFonts w:ascii="Times New Roman" w:hAnsi="Times New Roman"/>
          <w:bCs/>
          <w:lang w:val="pl-PL"/>
        </w:rPr>
        <w:t>Taki przepis</w:t>
      </w:r>
      <w:r>
        <w:rPr>
          <w:rFonts w:ascii="Times New Roman" w:hAnsi="Times New Roman"/>
          <w:bCs/>
          <w:lang w:val="pl-PL"/>
        </w:rPr>
        <w:t xml:space="preserve"> powinien zapewnić, że ERZ/SE</w:t>
      </w:r>
      <w:r w:rsidRPr="001E53E1">
        <w:rPr>
          <w:rFonts w:ascii="Times New Roman" w:hAnsi="Times New Roman"/>
          <w:bCs/>
          <w:lang w:val="pl-PL"/>
        </w:rPr>
        <w:t xml:space="preserve"> pozostanie organem właściwym w sprawach transnarodowych dotyczących Zjednoczonego</w:t>
      </w:r>
      <w:r>
        <w:rPr>
          <w:rFonts w:ascii="Times New Roman" w:hAnsi="Times New Roman"/>
          <w:bCs/>
          <w:lang w:val="pl-PL"/>
        </w:rPr>
        <w:t xml:space="preserve"> Królestwa. Członkowie ERZ/ SE</w:t>
      </w:r>
      <w:r w:rsidRPr="001E53E1">
        <w:rPr>
          <w:rFonts w:ascii="Times New Roman" w:hAnsi="Times New Roman"/>
          <w:bCs/>
          <w:lang w:val="pl-PL"/>
        </w:rPr>
        <w:t xml:space="preserve"> ze wszystkich krajów muszą nadal mieć prawo do informacji i konsultacji w sprawach ponadnarodowych, które dotyczą również Wielkiej Brytanii.</w:t>
      </w:r>
    </w:p>
    <w:p w14:paraId="25D10092" w14:textId="77777777" w:rsidR="00EC231C" w:rsidRPr="00A132BF" w:rsidRDefault="00EC231C" w:rsidP="00EC231C">
      <w:pPr>
        <w:jc w:val="both"/>
        <w:rPr>
          <w:rFonts w:ascii="Times New Roman" w:hAnsi="Times New Roman"/>
          <w:bCs/>
          <w:lang w:val="pl-PL"/>
        </w:rPr>
      </w:pPr>
    </w:p>
    <w:p w14:paraId="5E0F9DF4" w14:textId="0D198F30" w:rsidR="00EC231C" w:rsidRPr="00A132BF" w:rsidRDefault="00EC231C" w:rsidP="00EC231C">
      <w:pPr>
        <w:jc w:val="both"/>
        <w:rPr>
          <w:rFonts w:ascii="Times New Roman" w:hAnsi="Times New Roman"/>
          <w:bCs/>
          <w:lang w:val="pl-PL"/>
        </w:rPr>
      </w:pPr>
      <w:r w:rsidRPr="00A132BF">
        <w:rPr>
          <w:rFonts w:ascii="Times New Roman" w:hAnsi="Times New Roman"/>
          <w:bCs/>
          <w:lang w:val="pl-PL"/>
        </w:rPr>
        <w:t>Poniższe argumenty można przedstawić podczas negocjacji, renegocjacji lub renegocjacji lub dos</w:t>
      </w:r>
      <w:r w:rsidR="00A83603" w:rsidRPr="00A132BF">
        <w:rPr>
          <w:rFonts w:ascii="Times New Roman" w:hAnsi="Times New Roman"/>
          <w:bCs/>
          <w:lang w:val="pl-PL"/>
        </w:rPr>
        <w:t>tosowania Porozumienia o ERZ/SE</w:t>
      </w:r>
      <w:r w:rsidRPr="00A132BF">
        <w:rPr>
          <w:rFonts w:ascii="Times New Roman" w:hAnsi="Times New Roman"/>
          <w:bCs/>
          <w:lang w:val="pl-PL"/>
        </w:rPr>
        <w:t xml:space="preserve"> z Zarządem. </w:t>
      </w:r>
    </w:p>
    <w:p w14:paraId="10F0E73E" w14:textId="77777777" w:rsidR="001E53E1" w:rsidRPr="00A132BF" w:rsidRDefault="001E53E1" w:rsidP="00EC231C">
      <w:pPr>
        <w:jc w:val="both"/>
        <w:rPr>
          <w:rFonts w:ascii="Times New Roman" w:hAnsi="Times New Roman"/>
          <w:bCs/>
          <w:lang w:val="pl-PL"/>
        </w:rPr>
      </w:pPr>
    </w:p>
    <w:p w14:paraId="59D9BABD" w14:textId="460E1062" w:rsidR="00EC231C" w:rsidRPr="00A132BF" w:rsidRDefault="00EC231C" w:rsidP="00EC231C">
      <w:pPr>
        <w:jc w:val="both"/>
        <w:rPr>
          <w:rFonts w:ascii="Times New Roman" w:hAnsi="Times New Roman"/>
          <w:bCs/>
          <w:lang w:val="pl-PL"/>
        </w:rPr>
      </w:pPr>
      <w:r w:rsidRPr="00A132BF">
        <w:rPr>
          <w:rFonts w:ascii="Times New Roman" w:hAnsi="Times New Roman"/>
          <w:bCs/>
          <w:lang w:val="pl-PL"/>
        </w:rPr>
        <w:t>Po pierwsze, Dyrektywa o ERZ w wersji przekształconej (art. 1, §</w:t>
      </w:r>
      <w:r w:rsidR="00A83603" w:rsidRPr="00A132BF">
        <w:rPr>
          <w:rFonts w:ascii="Times New Roman" w:hAnsi="Times New Roman"/>
          <w:bCs/>
          <w:lang w:val="pl-PL"/>
        </w:rPr>
        <w:t xml:space="preserve"> </w:t>
      </w:r>
      <w:r w:rsidRPr="00A132BF">
        <w:rPr>
          <w:rFonts w:ascii="Times New Roman" w:hAnsi="Times New Roman"/>
          <w:bCs/>
          <w:lang w:val="pl-PL"/>
        </w:rPr>
        <w:t>6) przewiduje możliwość decydowania przez przedsiębiorstwa o szerszym zakresie zastosowania</w:t>
      </w:r>
      <w:r w:rsidR="00A83603" w:rsidRPr="00A132BF">
        <w:rPr>
          <w:rFonts w:ascii="Times New Roman" w:hAnsi="Times New Roman"/>
          <w:bCs/>
          <w:lang w:val="pl-PL"/>
        </w:rPr>
        <w:t>,</w:t>
      </w:r>
      <w:r w:rsidRPr="00A132BF">
        <w:rPr>
          <w:rFonts w:ascii="Times New Roman" w:hAnsi="Times New Roman"/>
          <w:bCs/>
          <w:lang w:val="pl-PL"/>
        </w:rPr>
        <w:t xml:space="preserve"> niż UE lub EOG. Europejskie Federacje Związków Zawodowych mają wieloletnie doświadczenie w zabezpieczaniu udziału pracowników z krajów spoza EOG (np. ze Szwajcarii i krajów kandydujących do UE) w ERZ i SE. </w:t>
      </w:r>
    </w:p>
    <w:p w14:paraId="10DDBBBB" w14:textId="77777777" w:rsidR="00EC231C" w:rsidRPr="00A132BF" w:rsidRDefault="00EC231C" w:rsidP="00EC231C">
      <w:pPr>
        <w:jc w:val="both"/>
        <w:rPr>
          <w:rFonts w:ascii="Times New Roman" w:hAnsi="Times New Roman"/>
          <w:bCs/>
          <w:lang w:val="pl-PL"/>
        </w:rPr>
      </w:pPr>
    </w:p>
    <w:p w14:paraId="6709FC0D" w14:textId="77777777" w:rsidR="00AD6351" w:rsidRPr="00A132BF" w:rsidRDefault="00AD6351" w:rsidP="00AD6351">
      <w:pPr>
        <w:jc w:val="both"/>
        <w:rPr>
          <w:rFonts w:ascii="Times New Roman" w:hAnsi="Times New Roman"/>
          <w:bCs/>
          <w:lang w:val="pl-PL"/>
        </w:rPr>
      </w:pPr>
      <w:r w:rsidRPr="00A132BF">
        <w:rPr>
          <w:rFonts w:ascii="Times New Roman" w:hAnsi="Times New Roman"/>
          <w:bCs/>
          <w:lang w:val="pl-PL"/>
        </w:rPr>
        <w:t>Po drugie, jeszcze przed wprowadzeniem w życie dyrektywy w sprawie ERZ w Zjednoczonym Królestwie (od grudnia 1999r.), zdecydowana większość przedsiębiorstw ponadnarodowych z europejską radą zakładową dobrowolnie zdecydowała się na włączenie do niej przedstawicieli pracowników brytyjskich, mimo że nie było prawnego obowiązku. Wyłączenie ich teraz byłoby nieracjonalne.</w:t>
      </w:r>
    </w:p>
    <w:p w14:paraId="05177DF4" w14:textId="77777777" w:rsidR="00AD6351" w:rsidRPr="00A132BF" w:rsidRDefault="00AD6351" w:rsidP="00AD6351">
      <w:pPr>
        <w:jc w:val="both"/>
        <w:rPr>
          <w:rFonts w:ascii="Times New Roman" w:hAnsi="Times New Roman"/>
          <w:bCs/>
          <w:lang w:val="pl-PL"/>
        </w:rPr>
      </w:pPr>
    </w:p>
    <w:p w14:paraId="7147BD73" w14:textId="012B3B34" w:rsidR="00AD6351" w:rsidRPr="00A132BF" w:rsidRDefault="00AD6351" w:rsidP="00AD6351">
      <w:pPr>
        <w:jc w:val="both"/>
        <w:rPr>
          <w:rFonts w:ascii="Times New Roman" w:hAnsi="Times New Roman"/>
          <w:bCs/>
          <w:lang w:val="pl-PL"/>
        </w:rPr>
      </w:pPr>
      <w:r w:rsidRPr="00A132BF">
        <w:rPr>
          <w:rFonts w:ascii="Times New Roman" w:hAnsi="Times New Roman"/>
          <w:bCs/>
          <w:lang w:val="pl-PL"/>
        </w:rPr>
        <w:t xml:space="preserve">Po trzecie, znaczna liczba przedsiębiorstw ponadnarodowych dostosowała już swoje porozumienia </w:t>
      </w:r>
      <w:r w:rsidR="006402B9">
        <w:rPr>
          <w:rFonts w:ascii="Times New Roman" w:hAnsi="Times New Roman"/>
          <w:bCs/>
          <w:lang w:val="pl-PL"/>
        </w:rPr>
        <w:br/>
      </w:r>
      <w:r w:rsidRPr="00A132BF">
        <w:rPr>
          <w:rFonts w:ascii="Times New Roman" w:hAnsi="Times New Roman"/>
          <w:bCs/>
          <w:lang w:val="pl-PL"/>
        </w:rPr>
        <w:t xml:space="preserve">w sprawie ERZ/SE, aby zapewnić reprezentację pracowników brytyjskich. Patrz przykłady wymienione </w:t>
      </w:r>
      <w:r w:rsidR="006402B9">
        <w:rPr>
          <w:rFonts w:ascii="Times New Roman" w:hAnsi="Times New Roman"/>
          <w:bCs/>
          <w:lang w:val="pl-PL"/>
        </w:rPr>
        <w:br/>
      </w:r>
      <w:r w:rsidRPr="00A132BF">
        <w:rPr>
          <w:rFonts w:ascii="Times New Roman" w:hAnsi="Times New Roman"/>
          <w:bCs/>
          <w:lang w:val="pl-PL"/>
        </w:rPr>
        <w:t xml:space="preserve">w załączniku. </w:t>
      </w:r>
    </w:p>
    <w:p w14:paraId="683BCD60" w14:textId="77777777" w:rsidR="00AD6351" w:rsidRPr="00A132BF" w:rsidRDefault="00AD6351" w:rsidP="00AD6351">
      <w:pPr>
        <w:jc w:val="both"/>
        <w:rPr>
          <w:rFonts w:ascii="Times New Roman" w:hAnsi="Times New Roman"/>
          <w:bCs/>
          <w:lang w:val="pl-PL"/>
        </w:rPr>
      </w:pPr>
    </w:p>
    <w:p w14:paraId="5942CB98" w14:textId="5511D438" w:rsidR="00AD6351" w:rsidRPr="00A132BF" w:rsidRDefault="00AD6351" w:rsidP="00AD6351">
      <w:pPr>
        <w:jc w:val="both"/>
        <w:rPr>
          <w:rFonts w:ascii="Times New Roman" w:hAnsi="Times New Roman"/>
          <w:bCs/>
          <w:lang w:val="pl-PL"/>
        </w:rPr>
      </w:pPr>
      <w:r w:rsidRPr="00A132BF">
        <w:rPr>
          <w:rFonts w:ascii="Times New Roman" w:hAnsi="Times New Roman"/>
          <w:bCs/>
          <w:lang w:val="pl-PL"/>
        </w:rPr>
        <w:t xml:space="preserve">Po czwarte, prawa do informacji i konsultacji są częścią równych warunków działania określonych </w:t>
      </w:r>
      <w:r w:rsidR="006402B9">
        <w:rPr>
          <w:rFonts w:ascii="Times New Roman" w:hAnsi="Times New Roman"/>
          <w:bCs/>
          <w:lang w:val="pl-PL"/>
        </w:rPr>
        <w:br/>
      </w:r>
      <w:r w:rsidRPr="00A132BF">
        <w:rPr>
          <w:rFonts w:ascii="Times New Roman" w:hAnsi="Times New Roman"/>
          <w:bCs/>
          <w:lang w:val="pl-PL"/>
        </w:rPr>
        <w:t xml:space="preserve">w Umowie o handlu i współpracy między UE a Zjednoczonym Królestwem i są zabezpieczone klauzulą </w:t>
      </w:r>
      <w:r w:rsidR="006402B9">
        <w:rPr>
          <w:rFonts w:ascii="Times New Roman" w:hAnsi="Times New Roman"/>
          <w:bCs/>
          <w:lang w:val="pl-PL"/>
        </w:rPr>
        <w:br/>
      </w:r>
      <w:r w:rsidRPr="00A132BF">
        <w:rPr>
          <w:rFonts w:ascii="Times New Roman" w:hAnsi="Times New Roman"/>
          <w:bCs/>
          <w:lang w:val="pl-PL"/>
        </w:rPr>
        <w:t xml:space="preserve">o </w:t>
      </w:r>
      <w:r w:rsidR="00DD5D57" w:rsidRPr="00A132BF">
        <w:rPr>
          <w:rFonts w:ascii="Times New Roman" w:hAnsi="Times New Roman"/>
          <w:bCs/>
          <w:lang w:val="pl-PL"/>
        </w:rPr>
        <w:t>nieobniżaniu standardów</w:t>
      </w:r>
      <w:r w:rsidRPr="00A132BF">
        <w:rPr>
          <w:rFonts w:ascii="Times New Roman" w:hAnsi="Times New Roman"/>
          <w:bCs/>
          <w:lang w:val="pl-PL"/>
        </w:rPr>
        <w:t xml:space="preserve">. </w:t>
      </w:r>
    </w:p>
    <w:p w14:paraId="72895963" w14:textId="77777777" w:rsidR="00AD6351" w:rsidRPr="00A132BF" w:rsidRDefault="00AD6351" w:rsidP="00AD6351">
      <w:pPr>
        <w:jc w:val="both"/>
        <w:rPr>
          <w:rFonts w:ascii="Times New Roman" w:hAnsi="Times New Roman"/>
          <w:bCs/>
          <w:lang w:val="pl-PL"/>
        </w:rPr>
      </w:pPr>
    </w:p>
    <w:p w14:paraId="2577AAF5" w14:textId="2807519F" w:rsidR="00EC231C" w:rsidRPr="00BC7579" w:rsidRDefault="00AD6351" w:rsidP="00AD6351">
      <w:pPr>
        <w:jc w:val="both"/>
        <w:rPr>
          <w:rFonts w:ascii="Times New Roman" w:hAnsi="Times New Roman"/>
          <w:bCs/>
          <w:vertAlign w:val="superscript"/>
          <w:lang w:val="pl-PL"/>
        </w:rPr>
      </w:pPr>
      <w:r w:rsidRPr="00A132BF">
        <w:rPr>
          <w:rFonts w:ascii="Times New Roman" w:hAnsi="Times New Roman"/>
          <w:bCs/>
          <w:lang w:val="pl-PL"/>
        </w:rPr>
        <w:t xml:space="preserve">Po piąte, brytyjskie prawo transponujące przekształconą dyrektywę w sprawie ERZ (zwane </w:t>
      </w:r>
      <w:r w:rsidR="00BC7579">
        <w:rPr>
          <w:rFonts w:ascii="Times New Roman" w:hAnsi="Times New Roman"/>
          <w:bCs/>
          <w:lang w:val="pl-PL"/>
        </w:rPr>
        <w:t>"rozporządzeniem w sprawie TICE”</w:t>
      </w:r>
      <w:r w:rsidR="00BC7579">
        <w:rPr>
          <w:rStyle w:val="Odwoanieprzypisudolnego"/>
          <w:rFonts w:ascii="Times New Roman" w:hAnsi="Times New Roman"/>
          <w:bCs/>
          <w:lang w:val="pl-PL"/>
        </w:rPr>
        <w:footnoteReference w:id="4"/>
      </w:r>
      <w:r w:rsidRPr="00A132BF">
        <w:rPr>
          <w:rFonts w:ascii="Times New Roman" w:hAnsi="Times New Roman"/>
          <w:bCs/>
          <w:lang w:val="pl-PL"/>
        </w:rPr>
        <w:t xml:space="preserve">) zostało zachowane jako część prawa krajowego Zjednoczonego Królestwa. Nadal reguluje ono prawa i obowiązki przedstawicieli Wielkiej Brytanii we wszystkich europejskich radach zakładowych po Brexicie. Ponadto w szczególnej sytuacji europejskich rad zakładowych, które wcześniej opierały się na prawie brytyjskim, ustawodawstwo krajowe Zjednoczonego Królestwa zapewnia mandat przedstawicielom pracowników brytyjskich. Oznacza to, że odebranie mandatu przedstawicielom Wielkiej Brytanii w ERZ, które działały na mocy prawa brytyjskiego przed Brexitem, będzie stanowić naruszenie brytyjskiego prawa krajowego. W takim przypadku należy skontaktować </w:t>
      </w:r>
      <w:r w:rsidR="006402B9">
        <w:rPr>
          <w:rFonts w:ascii="Times New Roman" w:hAnsi="Times New Roman"/>
          <w:bCs/>
          <w:lang w:val="pl-PL"/>
        </w:rPr>
        <w:br/>
      </w:r>
      <w:r w:rsidRPr="00A132BF">
        <w:rPr>
          <w:rFonts w:ascii="Times New Roman" w:hAnsi="Times New Roman"/>
          <w:bCs/>
          <w:lang w:val="pl-PL"/>
        </w:rPr>
        <w:t>się z Europejską Federacją Związków Zawodowych w celu uzyskania dalszych porad i wskazówek (patrz dane kontaktowe poniżej).</w:t>
      </w:r>
    </w:p>
    <w:p w14:paraId="36155C83" w14:textId="77777777" w:rsidR="00597686" w:rsidRPr="00A132BF" w:rsidRDefault="00597686" w:rsidP="000F217B">
      <w:pPr>
        <w:jc w:val="both"/>
        <w:rPr>
          <w:rFonts w:ascii="Times New Roman" w:hAnsi="Times New Roman"/>
          <w:lang w:val="pl-PL"/>
        </w:rPr>
      </w:pPr>
    </w:p>
    <w:p w14:paraId="4B73C9F3" w14:textId="22BE0216" w:rsidR="004810E5" w:rsidRPr="00A132BF" w:rsidRDefault="004810E5" w:rsidP="004810E5">
      <w:pPr>
        <w:pStyle w:val="Nagwek3"/>
        <w:shd w:val="clear" w:color="auto" w:fill="FF0000"/>
        <w:tabs>
          <w:tab w:val="center" w:pos="4852"/>
        </w:tabs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ab/>
      </w:r>
      <w:r w:rsidR="002F135D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#</w:t>
      </w:r>
      <w:r w:rsidR="00327CA4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2</w:t>
      </w: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  Jeśli Twoja ERZ/ SE podlegała prawu Wielkiej Brytanii</w:t>
      </w:r>
    </w:p>
    <w:p w14:paraId="566C2DDB" w14:textId="2B48CBC5" w:rsidR="004810E5" w:rsidRPr="00A132BF" w:rsidRDefault="004810E5" w:rsidP="004810E5">
      <w:pPr>
        <w:shd w:val="clear" w:color="auto" w:fill="FF0000"/>
        <w:jc w:val="center"/>
        <w:rPr>
          <w:rFonts w:ascii="Times New Roman" w:hAnsi="Times New Roman"/>
          <w:b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/>
          <w:b/>
          <w:color w:val="FFFFFF" w:themeColor="background1"/>
          <w:sz w:val="32"/>
          <w:szCs w:val="32"/>
          <w:lang w:val="pl-PL"/>
        </w:rPr>
        <w:t>Teraz obowiązuje nowe prawo</w:t>
      </w:r>
    </w:p>
    <w:p w14:paraId="7EA8FBD9" w14:textId="76C79DBD" w:rsidR="002F135D" w:rsidRPr="00A132BF" w:rsidRDefault="002F135D" w:rsidP="004810E5">
      <w:pPr>
        <w:pStyle w:val="Nagwek3"/>
        <w:shd w:val="clear" w:color="auto" w:fill="FF0000"/>
        <w:tabs>
          <w:tab w:val="left" w:pos="270"/>
        </w:tabs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38CA0210" w14:textId="77777777" w:rsidR="006B577A" w:rsidRPr="00407049" w:rsidRDefault="006B577A" w:rsidP="00C7693D">
      <w:pPr>
        <w:jc w:val="both"/>
        <w:rPr>
          <w:rFonts w:ascii="Times New Roman" w:hAnsi="Times New Roman"/>
          <w:lang w:val="pl-PL"/>
        </w:rPr>
      </w:pPr>
    </w:p>
    <w:p w14:paraId="45FFE5DE" w14:textId="2A9FC8B2" w:rsidR="009A2340" w:rsidRPr="00A132BF" w:rsidRDefault="006B577A" w:rsidP="00C7693D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>Z dniem 1 stycznia 2021r., zgodnie z wytycznymi Komisji Europejskiej</w:t>
      </w:r>
      <w:r w:rsidR="007E5B70">
        <w:rPr>
          <w:rStyle w:val="Odwoanieprzypisudolnego"/>
          <w:rFonts w:ascii="Times New Roman" w:hAnsi="Times New Roman"/>
          <w:lang w:val="pl-PL"/>
        </w:rPr>
        <w:footnoteReference w:id="5"/>
      </w:r>
      <w:r w:rsidRPr="00A132BF">
        <w:rPr>
          <w:rFonts w:ascii="Times New Roman" w:hAnsi="Times New Roman"/>
          <w:lang w:val="pl-PL"/>
        </w:rPr>
        <w:t>, te ERZ, których centralne kierownictwo (lub wyznaczony przedstawiciel) znajdowało się wcześniej w Wielkiej Brytanii, zostaną przeniesione do innego państwa członkowskiego Unii Europejskiej. W przypadku, gdy centralne kierownictwo nie wyznaczy nowego państwa członkowskiego UE, w którym będzie znajdował się ich przedstawiciel od 1 stycznia 2021 r., zgodnie z wytycznymi Komisji Europejskiej, rolę tę przejmie państwo członkowskie z największą liczbą pracowników:</w:t>
      </w:r>
    </w:p>
    <w:p w14:paraId="783EAC27" w14:textId="77777777" w:rsidR="006B577A" w:rsidRPr="00A132BF" w:rsidRDefault="006B577A" w:rsidP="00C7693D">
      <w:pPr>
        <w:jc w:val="both"/>
        <w:rPr>
          <w:rFonts w:ascii="Times New Roman" w:hAnsi="Times New Roman"/>
          <w:lang w:val="pl-PL"/>
        </w:rPr>
      </w:pPr>
    </w:p>
    <w:p w14:paraId="28B634D3" w14:textId="77777777" w:rsidR="004035D0" w:rsidRPr="00A132BF" w:rsidRDefault="004035D0" w:rsidP="00B51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rFonts w:ascii="Times New Roman" w:hAnsi="Times New Roman"/>
          <w:i/>
          <w:iCs/>
          <w:lang w:val="pl-PL"/>
        </w:rPr>
      </w:pPr>
      <w:r w:rsidRPr="00A132BF">
        <w:rPr>
          <w:rFonts w:ascii="Times New Roman" w:hAnsi="Times New Roman"/>
          <w:i/>
          <w:iCs/>
          <w:lang w:val="pl-PL"/>
        </w:rPr>
        <w:t>Od tego dnia [tj. od końca okresu przejściowego w dniu 31 grudnia 2020 r.] rola przedstawiciela przechodzi automatycznie na przedsiębiorstwo lub grupę przedsiębiorstw, które zatrudniają największą liczbę pracowników w danym państwie członkowskim i które stają się "uznanymi za  centralne kierownictwo" w rozumieniu art. 4 ust. 3 dyrektywy 2009/38/WE.</w:t>
      </w:r>
    </w:p>
    <w:p w14:paraId="0357DD4D" w14:textId="1FD0669B" w:rsidR="001976EE" w:rsidRPr="00A132BF" w:rsidRDefault="00A132BF" w:rsidP="00B51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3"/>
        <w:jc w:val="center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Ź</w:t>
      </w:r>
      <w:r w:rsidR="00B35712" w:rsidRPr="00A132BF">
        <w:rPr>
          <w:rFonts w:ascii="Times New Roman" w:hAnsi="Times New Roman"/>
          <w:lang w:val="pl-PL"/>
        </w:rPr>
        <w:t>ródło</w:t>
      </w:r>
      <w:r w:rsidR="001976EE" w:rsidRPr="00A132BF">
        <w:rPr>
          <w:rFonts w:ascii="Times New Roman" w:hAnsi="Times New Roman"/>
          <w:lang w:val="pl-PL"/>
        </w:rPr>
        <w:t xml:space="preserve">: </w:t>
      </w:r>
      <w:hyperlink r:id="rId12" w:history="1">
        <w:r w:rsidR="00534FF1" w:rsidRPr="00534FF1">
          <w:rPr>
            <w:rStyle w:val="Hipercze"/>
            <w:rFonts w:ascii="Times New Roman" w:hAnsi="Times New Roman"/>
            <w:lang w:val="pl-PL"/>
          </w:rPr>
          <w:t>European Commission</w:t>
        </w:r>
      </w:hyperlink>
      <w:r w:rsidR="00534FF1">
        <w:rPr>
          <w:rFonts w:ascii="Times New Roman" w:hAnsi="Times New Roman"/>
          <w:lang w:val="pl-PL"/>
        </w:rPr>
        <w:t xml:space="preserve"> </w:t>
      </w:r>
    </w:p>
    <w:p w14:paraId="6EB9D3CD" w14:textId="15EC0DFD" w:rsidR="004D6821" w:rsidRPr="00A132BF" w:rsidRDefault="004D6821" w:rsidP="00C7693D">
      <w:pPr>
        <w:jc w:val="both"/>
        <w:rPr>
          <w:rFonts w:ascii="Times New Roman" w:hAnsi="Times New Roman"/>
          <w:lang w:val="pl-PL"/>
        </w:rPr>
      </w:pPr>
    </w:p>
    <w:p w14:paraId="1EE76329" w14:textId="77777777" w:rsidR="006E2232" w:rsidRPr="00A132BF" w:rsidRDefault="006E2232" w:rsidP="006E2232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Jeśli w umowie o ERZ nie postanowiono inaczej, prawem właściwym dla umowy o ERZ jest prawo państwa członkowskiego UE, w którym znajduje się centralny zarząd (lub przedstawiciel). </w:t>
      </w:r>
    </w:p>
    <w:p w14:paraId="2DD3CF4C" w14:textId="77777777" w:rsidR="006E2232" w:rsidRPr="00A132BF" w:rsidRDefault="006E2232" w:rsidP="006E2232">
      <w:pPr>
        <w:jc w:val="both"/>
        <w:rPr>
          <w:rFonts w:ascii="Times New Roman" w:hAnsi="Times New Roman"/>
          <w:lang w:val="pl-PL"/>
        </w:rPr>
      </w:pPr>
    </w:p>
    <w:p w14:paraId="0C85E555" w14:textId="281E6C41" w:rsidR="0010570E" w:rsidRPr="00A132BF" w:rsidRDefault="006E2232" w:rsidP="006E2232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Czy i w jaki sposób Rozporządzenie TICE, które jest obecnie częścią brytyjskiego prawa krajowego, ingeruje w przyszłość ERZ, które wcześniej działały na podstawie prawa brytyjskiego, pozostaje </w:t>
      </w:r>
      <w:r w:rsidR="006402B9">
        <w:rPr>
          <w:rFonts w:ascii="Times New Roman" w:hAnsi="Times New Roman"/>
          <w:lang w:val="pl-PL"/>
        </w:rPr>
        <w:br/>
      </w:r>
      <w:r w:rsidRPr="00A132BF">
        <w:rPr>
          <w:rFonts w:ascii="Times New Roman" w:hAnsi="Times New Roman"/>
          <w:lang w:val="pl-PL"/>
        </w:rPr>
        <w:t>do wyjaśnienia.</w:t>
      </w:r>
    </w:p>
    <w:p w14:paraId="77510940" w14:textId="034CF741" w:rsidR="004D6821" w:rsidRPr="00A132BF" w:rsidRDefault="004D6821" w:rsidP="00960313">
      <w:pPr>
        <w:jc w:val="both"/>
        <w:rPr>
          <w:rFonts w:ascii="Times New Roman" w:hAnsi="Times New Roman"/>
          <w:lang w:val="pl-PL"/>
        </w:rPr>
      </w:pPr>
    </w:p>
    <w:p w14:paraId="49439EEE" w14:textId="77777777" w:rsidR="00FA7950" w:rsidRPr="00A132BF" w:rsidRDefault="00FA7950" w:rsidP="00FA7950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1025D24A" w14:textId="7B051465" w:rsidR="00FA7950" w:rsidRPr="00A132BF" w:rsidRDefault="00FA7950" w:rsidP="00FA7950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#</w:t>
      </w:r>
      <w:r w:rsidR="00327CA4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3</w:t>
      </w: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. </w:t>
      </w:r>
      <w:r w:rsidR="00B50C20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Uwzględnij Brexit w programie posiedzenia ERZ/ SE</w:t>
      </w: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:</w:t>
      </w:r>
    </w:p>
    <w:p w14:paraId="1601290B" w14:textId="59D0BD4C" w:rsidR="00FA7950" w:rsidRPr="00A132BF" w:rsidRDefault="00B50C20" w:rsidP="00FA7950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Przewiduj zmiany w strategii i działalności firmy</w:t>
      </w:r>
    </w:p>
    <w:p w14:paraId="4DF0047C" w14:textId="77777777" w:rsidR="00FA7950" w:rsidRPr="00A132BF" w:rsidRDefault="00FA7950" w:rsidP="00F212A5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1F1B79B5" w14:textId="7C18DACF" w:rsidR="00F212A5" w:rsidRPr="00A132BF" w:rsidRDefault="00F212A5" w:rsidP="005B0F28">
      <w:pPr>
        <w:jc w:val="both"/>
        <w:rPr>
          <w:rFonts w:ascii="Times New Roman" w:hAnsi="Times New Roman"/>
          <w:lang w:val="pl-PL"/>
        </w:rPr>
      </w:pPr>
    </w:p>
    <w:p w14:paraId="1C50EF24" w14:textId="6B0B960A" w:rsidR="00DA2365" w:rsidRPr="00A132BF" w:rsidRDefault="00DA2365" w:rsidP="00DA2365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Zabezpieczenie przyszłości miejsc pracy wszystkich pracowników w Europie będzie miało kluczowe znaczenie, ponieważ </w:t>
      </w:r>
      <w:r w:rsidR="00407049">
        <w:rPr>
          <w:rFonts w:ascii="Times New Roman" w:hAnsi="Times New Roman"/>
          <w:lang w:val="pl-PL"/>
        </w:rPr>
        <w:t>przedsiębiorstwa</w:t>
      </w:r>
      <w:r w:rsidRPr="00A132BF">
        <w:rPr>
          <w:rFonts w:ascii="Times New Roman" w:hAnsi="Times New Roman"/>
          <w:lang w:val="pl-PL"/>
        </w:rPr>
        <w:t xml:space="preserve"> ponadnarodowe mogą zrewidować swoje strategie w świetle konsekwencji, jakie Brexit może mieć dla zintegrowanych sieci produkcyjnych, łańcuchów dostaw i handlu wewnętrznego z UE. </w:t>
      </w:r>
    </w:p>
    <w:p w14:paraId="67F304CD" w14:textId="77777777" w:rsidR="00DA2365" w:rsidRPr="00A132BF" w:rsidRDefault="00DA2365" w:rsidP="00DA2365">
      <w:pPr>
        <w:jc w:val="both"/>
        <w:rPr>
          <w:rFonts w:ascii="Times New Roman" w:hAnsi="Times New Roman"/>
          <w:lang w:val="pl-PL"/>
        </w:rPr>
      </w:pPr>
    </w:p>
    <w:p w14:paraId="710C2CAC" w14:textId="77777777" w:rsidR="00DA2365" w:rsidRPr="00A132BF" w:rsidRDefault="00DA2365" w:rsidP="00DA2365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Europejskie Federacje Związków Zawodowych zdecydowanie zalecają umieszczenie Brexit jako stałego punktu w porządku obrad Waszych posiedzeń ERZ/ SE, prosząc kierownictwo o wcześniejsze dostarczenie informacji i przeprowadzenie konsultacji w następujących kwestiach: </w:t>
      </w:r>
    </w:p>
    <w:p w14:paraId="7B1ABA84" w14:textId="322BC84A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Prognoza możliwego wpływu Brexit na </w:t>
      </w:r>
      <w:r w:rsidRPr="00A132BF">
        <w:rPr>
          <w:rFonts w:ascii="Times New Roman" w:hAnsi="Times New Roman"/>
          <w:b/>
          <w:lang w:val="pl-PL"/>
        </w:rPr>
        <w:t xml:space="preserve">sytuację finansową i ekonomiczną, w tym zdolność </w:t>
      </w:r>
      <w:r w:rsidR="006402B9">
        <w:rPr>
          <w:rFonts w:ascii="Times New Roman" w:hAnsi="Times New Roman"/>
          <w:b/>
          <w:lang w:val="pl-PL"/>
        </w:rPr>
        <w:br/>
      </w:r>
      <w:r w:rsidRPr="00A132BF">
        <w:rPr>
          <w:rFonts w:ascii="Times New Roman" w:hAnsi="Times New Roman"/>
          <w:b/>
          <w:lang w:val="pl-PL"/>
        </w:rPr>
        <w:t>do zaciągania zobowiązań</w:t>
      </w:r>
      <w:r w:rsidRPr="00A132BF">
        <w:rPr>
          <w:rFonts w:ascii="Times New Roman" w:hAnsi="Times New Roman"/>
          <w:lang w:val="pl-PL"/>
        </w:rPr>
        <w:t>;</w:t>
      </w:r>
    </w:p>
    <w:p w14:paraId="4B7259B5" w14:textId="0A00B1F3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Prognoza możliwego wpływu Brexit na </w:t>
      </w:r>
      <w:r w:rsidRPr="00A132BF">
        <w:rPr>
          <w:rFonts w:ascii="Times New Roman" w:hAnsi="Times New Roman"/>
          <w:b/>
          <w:lang w:val="pl-PL"/>
        </w:rPr>
        <w:t>rozwój produkcji i sprzedaży, na całej długości łańcucha dostaw, we wszystkich krajach</w:t>
      </w:r>
      <w:r w:rsidRPr="00A132BF">
        <w:rPr>
          <w:rFonts w:ascii="Times New Roman" w:hAnsi="Times New Roman"/>
          <w:lang w:val="pl-PL"/>
        </w:rPr>
        <w:t>;</w:t>
      </w:r>
    </w:p>
    <w:p w14:paraId="7CE8430D" w14:textId="305F589E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Prognoza możliwego wpływu Brexit na </w:t>
      </w:r>
      <w:r w:rsidRPr="00A132BF">
        <w:rPr>
          <w:rFonts w:ascii="Times New Roman" w:hAnsi="Times New Roman"/>
          <w:b/>
          <w:lang w:val="pl-PL"/>
        </w:rPr>
        <w:t>handel, a w szczególności na koszty importu surowców</w:t>
      </w:r>
      <w:r w:rsidRPr="00A132BF">
        <w:rPr>
          <w:rFonts w:ascii="Times New Roman" w:hAnsi="Times New Roman"/>
          <w:lang w:val="pl-PL"/>
        </w:rPr>
        <w:t>;</w:t>
      </w:r>
    </w:p>
    <w:p w14:paraId="756142CE" w14:textId="54AF8E15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Aktualna sytuacja i prognoza możliwego wpływu Brexit na </w:t>
      </w:r>
      <w:r w:rsidRPr="00A132BF">
        <w:rPr>
          <w:rFonts w:ascii="Times New Roman" w:hAnsi="Times New Roman"/>
          <w:b/>
          <w:lang w:val="pl-PL"/>
        </w:rPr>
        <w:t xml:space="preserve">zatrudnienie we wszystkich krajach, </w:t>
      </w:r>
      <w:r w:rsidR="006402B9">
        <w:rPr>
          <w:rFonts w:ascii="Times New Roman" w:hAnsi="Times New Roman"/>
          <w:b/>
          <w:lang w:val="pl-PL"/>
        </w:rPr>
        <w:br/>
      </w:r>
      <w:r w:rsidRPr="00A132BF">
        <w:rPr>
          <w:rFonts w:ascii="Times New Roman" w:hAnsi="Times New Roman"/>
          <w:b/>
          <w:lang w:val="pl-PL"/>
        </w:rPr>
        <w:t xml:space="preserve"> w szczególności w Wielkiej Brytanii</w:t>
      </w:r>
      <w:r w:rsidRPr="00A132BF">
        <w:rPr>
          <w:rFonts w:ascii="Times New Roman" w:hAnsi="Times New Roman"/>
          <w:lang w:val="pl-PL"/>
        </w:rPr>
        <w:t>;</w:t>
      </w:r>
    </w:p>
    <w:p w14:paraId="2F4CC70F" w14:textId="080B57A6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Prognoza możliwego wpływu Brexit na </w:t>
      </w:r>
      <w:r w:rsidRPr="00A132BF">
        <w:rPr>
          <w:rFonts w:ascii="Times New Roman" w:hAnsi="Times New Roman"/>
          <w:b/>
          <w:lang w:val="pl-PL"/>
        </w:rPr>
        <w:t>plany inwestycyjne we wszystkich krajach</w:t>
      </w:r>
      <w:r w:rsidRPr="00A132BF">
        <w:rPr>
          <w:rFonts w:ascii="Times New Roman" w:hAnsi="Times New Roman"/>
          <w:lang w:val="pl-PL"/>
        </w:rPr>
        <w:t>;</w:t>
      </w:r>
    </w:p>
    <w:p w14:paraId="2F7D456B" w14:textId="46489634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Ewentualne </w:t>
      </w:r>
      <w:r w:rsidRPr="00A132BF">
        <w:rPr>
          <w:rFonts w:ascii="Times New Roman" w:hAnsi="Times New Roman"/>
          <w:b/>
          <w:lang w:val="pl-PL"/>
        </w:rPr>
        <w:t xml:space="preserve">przeniesienia produkcji, </w:t>
      </w:r>
      <w:r w:rsidR="00E94BFE">
        <w:rPr>
          <w:rFonts w:ascii="Times New Roman" w:hAnsi="Times New Roman"/>
          <w:b/>
          <w:lang w:val="pl-PL"/>
        </w:rPr>
        <w:t>zbycia</w:t>
      </w:r>
      <w:r w:rsidRPr="00A132BF">
        <w:rPr>
          <w:rFonts w:ascii="Times New Roman" w:hAnsi="Times New Roman"/>
          <w:b/>
          <w:lang w:val="pl-PL"/>
        </w:rPr>
        <w:t>, cięcia i zamknięcia</w:t>
      </w:r>
      <w:r w:rsidRPr="00A132BF">
        <w:rPr>
          <w:rFonts w:ascii="Times New Roman" w:hAnsi="Times New Roman"/>
          <w:lang w:val="pl-PL"/>
        </w:rPr>
        <w:t xml:space="preserve"> wynikające z Brexit</w:t>
      </w:r>
    </w:p>
    <w:p w14:paraId="73DCF1D6" w14:textId="2541B1A3" w:rsidR="00DA2365" w:rsidRPr="00A132BF" w:rsidRDefault="00DA2365" w:rsidP="0046197C">
      <w:pPr>
        <w:spacing w:before="240"/>
        <w:ind w:left="426" w:hanging="142"/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sz w:val="12"/>
          <w:szCs w:val="12"/>
          <w:lang w:val="pl-PL"/>
        </w:rPr>
        <w:t>●</w:t>
      </w:r>
      <w:r w:rsidRPr="00A132BF">
        <w:rPr>
          <w:rFonts w:ascii="Times New Roman" w:hAnsi="Times New Roman"/>
          <w:lang w:val="pl-PL"/>
        </w:rPr>
        <w:t xml:space="preserve"> Ewentualne przeniesienie europejskiej siedziby głównej (z lub do Wielkiej Brytanii).</w:t>
      </w:r>
    </w:p>
    <w:p w14:paraId="7E368205" w14:textId="77777777" w:rsidR="00DA2365" w:rsidRPr="00A132BF" w:rsidRDefault="00DA2365" w:rsidP="00DA2365">
      <w:pPr>
        <w:jc w:val="both"/>
        <w:rPr>
          <w:rFonts w:ascii="Times New Roman" w:hAnsi="Times New Roman"/>
          <w:lang w:val="pl-PL"/>
        </w:rPr>
      </w:pPr>
    </w:p>
    <w:p w14:paraId="0C26ED96" w14:textId="77777777" w:rsidR="00DA2365" w:rsidRPr="00A132BF" w:rsidRDefault="00DA2365" w:rsidP="00DA2365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Istotne jest, aby poprosić o informowanie i konsultowanie wszelkich przewidywanych środków zaradczych. </w:t>
      </w:r>
    </w:p>
    <w:p w14:paraId="2CDF18BB" w14:textId="77777777" w:rsidR="00DA2365" w:rsidRPr="00A132BF" w:rsidRDefault="00DA2365" w:rsidP="00DA2365">
      <w:pPr>
        <w:jc w:val="both"/>
        <w:rPr>
          <w:rFonts w:ascii="Times New Roman" w:hAnsi="Times New Roman"/>
          <w:lang w:val="pl-PL"/>
        </w:rPr>
      </w:pPr>
    </w:p>
    <w:p w14:paraId="3E9DD81B" w14:textId="77777777" w:rsidR="00FA7950" w:rsidRPr="00407049" w:rsidRDefault="00FA7950" w:rsidP="00FA7950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4A3DB70A" w14:textId="2086F805" w:rsidR="00FA7950" w:rsidRPr="00A132BF" w:rsidRDefault="00FA7950" w:rsidP="00FA7950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</w:pP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#</w:t>
      </w:r>
      <w:r w:rsidR="00327CA4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4</w:t>
      </w:r>
      <w:r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 xml:space="preserve">. </w:t>
      </w:r>
      <w:r w:rsidR="00DA2365" w:rsidRPr="00A132BF">
        <w:rPr>
          <w:rFonts w:ascii="Times New Roman" w:hAnsi="Times New Roman" w:cs="Times New Roman"/>
          <w:color w:val="FFFFFF" w:themeColor="background1"/>
          <w:sz w:val="32"/>
          <w:szCs w:val="32"/>
          <w:lang w:val="pl-PL"/>
        </w:rPr>
        <w:t>Sprawdź liczbę pracowników w poszczególnych krajach</w:t>
      </w:r>
    </w:p>
    <w:p w14:paraId="3CA3DFF0" w14:textId="77777777" w:rsidR="00FA7950" w:rsidRPr="00A132BF" w:rsidRDefault="00FA7950" w:rsidP="00FA7950">
      <w:pPr>
        <w:pStyle w:val="Nagwek3"/>
        <w:shd w:val="clear" w:color="auto" w:fill="FF0000"/>
        <w:ind w:left="66"/>
        <w:jc w:val="center"/>
        <w:rPr>
          <w:rFonts w:ascii="Times New Roman" w:hAnsi="Times New Roman" w:cs="Times New Roman"/>
          <w:color w:val="FFFFFF" w:themeColor="background1"/>
          <w:sz w:val="10"/>
          <w:szCs w:val="10"/>
          <w:lang w:val="pl-PL"/>
        </w:rPr>
      </w:pPr>
    </w:p>
    <w:p w14:paraId="3345E690" w14:textId="3160B040" w:rsidR="00F212A5" w:rsidRPr="00A132BF" w:rsidRDefault="00F212A5" w:rsidP="005B0F28">
      <w:pPr>
        <w:jc w:val="both"/>
        <w:rPr>
          <w:rFonts w:ascii="Times New Roman" w:hAnsi="Times New Roman"/>
          <w:lang w:val="pl-PL"/>
        </w:rPr>
      </w:pPr>
    </w:p>
    <w:p w14:paraId="09CBB677" w14:textId="6DEA953E" w:rsidR="00DD5D57" w:rsidRPr="00A132BF" w:rsidRDefault="005707A9" w:rsidP="00DD5D57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</w:t>
      </w:r>
      <w:r w:rsidR="00DD5D57" w:rsidRPr="00A132BF">
        <w:rPr>
          <w:rFonts w:ascii="Times New Roman" w:hAnsi="Times New Roman"/>
          <w:lang w:val="pl-PL"/>
        </w:rPr>
        <w:t xml:space="preserve"> związku z opuszczeniem UE przez Wielką Brytanię</w:t>
      </w:r>
      <w:r>
        <w:rPr>
          <w:rFonts w:ascii="Times New Roman" w:hAnsi="Times New Roman"/>
          <w:lang w:val="pl-PL"/>
        </w:rPr>
        <w:t>, w</w:t>
      </w:r>
      <w:r w:rsidRPr="00A132BF">
        <w:rPr>
          <w:rFonts w:ascii="Times New Roman" w:hAnsi="Times New Roman"/>
          <w:lang w:val="pl-PL"/>
        </w:rPr>
        <w:t xml:space="preserve"> niektórych przypadkach może zostać </w:t>
      </w:r>
      <w:r>
        <w:rPr>
          <w:rFonts w:ascii="Times New Roman" w:hAnsi="Times New Roman"/>
          <w:lang w:val="pl-PL"/>
        </w:rPr>
        <w:t xml:space="preserve">zakwestionowane </w:t>
      </w:r>
      <w:r w:rsidRPr="00A132BF">
        <w:rPr>
          <w:rFonts w:ascii="Times New Roman" w:hAnsi="Times New Roman"/>
          <w:lang w:val="pl-PL"/>
        </w:rPr>
        <w:t>samo istnienie ERZ</w:t>
      </w:r>
      <w:r w:rsidR="00DD5D57" w:rsidRPr="00A132BF">
        <w:rPr>
          <w:rFonts w:ascii="Times New Roman" w:hAnsi="Times New Roman"/>
          <w:lang w:val="pl-PL"/>
        </w:rPr>
        <w:t xml:space="preserve">. Jeśli liczba pracowników w Wielkiej Brytanii nie będzie już brana pod uwagę, niektóre przedsiębiorstwa </w:t>
      </w:r>
      <w:r>
        <w:rPr>
          <w:rFonts w:ascii="Times New Roman" w:hAnsi="Times New Roman"/>
          <w:lang w:val="pl-PL"/>
        </w:rPr>
        <w:t>ponadnarodowe</w:t>
      </w:r>
      <w:r w:rsidR="00DD5D57" w:rsidRPr="00A132BF">
        <w:rPr>
          <w:rFonts w:ascii="Times New Roman" w:hAnsi="Times New Roman"/>
          <w:lang w:val="pl-PL"/>
        </w:rPr>
        <w:t xml:space="preserve"> spadną poniżej progu wymaganego do ustanowienia ERZ (co najmniej 1.000 pracowników w UE/EOG; w co najmniej dwóch przedsiębiorstwach w dwóch różnych krajach, zatrudniających co najmniej 150 pracowników każde). Przeważa niepewność </w:t>
      </w:r>
      <w:r w:rsidR="006402B9">
        <w:rPr>
          <w:rFonts w:ascii="Times New Roman" w:hAnsi="Times New Roman"/>
          <w:lang w:val="pl-PL"/>
        </w:rPr>
        <w:br/>
      </w:r>
      <w:r w:rsidR="00DD5D57" w:rsidRPr="00A132BF">
        <w:rPr>
          <w:rFonts w:ascii="Times New Roman" w:hAnsi="Times New Roman"/>
          <w:lang w:val="pl-PL"/>
        </w:rPr>
        <w:t xml:space="preserve">co do konkretnych </w:t>
      </w:r>
      <w:r>
        <w:rPr>
          <w:rFonts w:ascii="Times New Roman" w:hAnsi="Times New Roman"/>
          <w:lang w:val="pl-PL"/>
        </w:rPr>
        <w:t>przyszłych konsekwencji</w:t>
      </w:r>
      <w:r w:rsidR="00DD5D57" w:rsidRPr="00A132BF">
        <w:rPr>
          <w:rFonts w:ascii="Times New Roman" w:hAnsi="Times New Roman"/>
          <w:lang w:val="pl-PL"/>
        </w:rPr>
        <w:t xml:space="preserve">. </w:t>
      </w:r>
    </w:p>
    <w:p w14:paraId="6723A98D" w14:textId="77777777" w:rsidR="00DD5D57" w:rsidRPr="00A132BF" w:rsidRDefault="00DD5D57" w:rsidP="00DD5D57">
      <w:pPr>
        <w:jc w:val="both"/>
        <w:rPr>
          <w:rFonts w:ascii="Times New Roman" w:hAnsi="Times New Roman"/>
          <w:lang w:val="pl-PL"/>
        </w:rPr>
      </w:pPr>
    </w:p>
    <w:p w14:paraId="5E2C7A83" w14:textId="616226F2" w:rsidR="00DD5D57" w:rsidRPr="00A132BF" w:rsidRDefault="00DD5D57" w:rsidP="00DD5D57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W celu zapobieżenia ewentualnym problemom, Europejskie Federacje Związków Zawodowych zalecają, aby każda ERZ dokonała przeglądu rozkładu zatrudnienia w poszczególnych krajach i oceniła, </w:t>
      </w:r>
      <w:r w:rsidRPr="00A132BF">
        <w:rPr>
          <w:rFonts w:ascii="Times New Roman" w:hAnsi="Times New Roman"/>
          <w:b/>
          <w:lang w:val="pl-PL"/>
        </w:rPr>
        <w:t>czy istnieje ryzyko spadku poniżej minimalnego progu, w prz</w:t>
      </w:r>
      <w:r w:rsidR="005707A9">
        <w:rPr>
          <w:rFonts w:ascii="Times New Roman" w:hAnsi="Times New Roman"/>
          <w:b/>
          <w:lang w:val="pl-PL"/>
        </w:rPr>
        <w:t>ypadku wykluczenia zatrudnionych</w:t>
      </w:r>
      <w:r w:rsidRPr="00A132BF">
        <w:rPr>
          <w:rFonts w:ascii="Times New Roman" w:hAnsi="Times New Roman"/>
          <w:b/>
          <w:lang w:val="pl-PL"/>
        </w:rPr>
        <w:t xml:space="preserve"> w Wielkiej Brytanii</w:t>
      </w:r>
      <w:r w:rsidRPr="00A132BF">
        <w:rPr>
          <w:rFonts w:ascii="Times New Roman" w:hAnsi="Times New Roman"/>
          <w:lang w:val="pl-PL"/>
        </w:rPr>
        <w:t xml:space="preserve">. </w:t>
      </w:r>
    </w:p>
    <w:p w14:paraId="6B64C9D4" w14:textId="77777777" w:rsidR="00DD5D57" w:rsidRPr="00A132BF" w:rsidRDefault="00DD5D57" w:rsidP="00DD5D57">
      <w:pPr>
        <w:jc w:val="both"/>
        <w:rPr>
          <w:rFonts w:ascii="Times New Roman" w:hAnsi="Times New Roman"/>
          <w:lang w:val="pl-PL"/>
        </w:rPr>
      </w:pPr>
    </w:p>
    <w:p w14:paraId="149FCCD8" w14:textId="77777777" w:rsidR="00DD5D57" w:rsidRPr="00A132BF" w:rsidRDefault="00DD5D57" w:rsidP="00DD5D57">
      <w:pPr>
        <w:jc w:val="both"/>
        <w:rPr>
          <w:rFonts w:ascii="Times New Roman" w:hAnsi="Times New Roman"/>
          <w:lang w:val="pl-PL"/>
        </w:rPr>
      </w:pPr>
      <w:r w:rsidRPr="00A132BF">
        <w:rPr>
          <w:rFonts w:ascii="Times New Roman" w:hAnsi="Times New Roman"/>
          <w:lang w:val="pl-PL"/>
        </w:rPr>
        <w:t xml:space="preserve">W takim przypadku przewodniczący ERZ i/lub koordynator proszeni są o niezwłoczne poinformowanie sekretariatu odpowiedniej Europejskiej Federacji Związków Zawodowych (patrz dane kontaktowe poniżej) w celu omówienia możliwego sposobu postępowania w poszczególnych przypadkach. </w:t>
      </w:r>
    </w:p>
    <w:p w14:paraId="5182337D" w14:textId="77777777" w:rsidR="00DD5D57" w:rsidRPr="00DD5D57" w:rsidRDefault="00DD5D57" w:rsidP="00DD5D57">
      <w:pPr>
        <w:jc w:val="both"/>
        <w:rPr>
          <w:rFonts w:cs="Arial"/>
          <w:lang w:val="pl-PL"/>
        </w:rPr>
      </w:pPr>
    </w:p>
    <w:p w14:paraId="0AFE2505" w14:textId="77777777" w:rsidR="00DD5D57" w:rsidRPr="00DD5D57" w:rsidRDefault="00DD5D57" w:rsidP="00DD5D57">
      <w:pPr>
        <w:jc w:val="both"/>
        <w:rPr>
          <w:rFonts w:cs="Arial"/>
          <w:lang w:val="pl-PL"/>
        </w:rPr>
      </w:pPr>
    </w:p>
    <w:p w14:paraId="52DEE5CA" w14:textId="77777777" w:rsidR="00DD5D57" w:rsidRPr="00DD5D57" w:rsidRDefault="00DD5D57" w:rsidP="00DD5D57">
      <w:pPr>
        <w:jc w:val="both"/>
        <w:rPr>
          <w:rFonts w:cs="Arial"/>
          <w:lang w:val="pl-PL"/>
        </w:rPr>
      </w:pPr>
    </w:p>
    <w:p w14:paraId="4C226055" w14:textId="77777777" w:rsidR="00DD5D57" w:rsidRPr="00DD5D57" w:rsidRDefault="00DD5D57" w:rsidP="00DD5D57">
      <w:pPr>
        <w:jc w:val="both"/>
        <w:rPr>
          <w:rFonts w:cs="Arial"/>
          <w:lang w:val="pl-PL"/>
        </w:rPr>
      </w:pPr>
    </w:p>
    <w:p w14:paraId="5DD67093" w14:textId="77777777" w:rsidR="00DD5D57" w:rsidRPr="00DD5D57" w:rsidRDefault="00DD5D57" w:rsidP="00DD5D57">
      <w:pPr>
        <w:jc w:val="both"/>
        <w:rPr>
          <w:rFonts w:cs="Arial"/>
          <w:lang w:val="pl-PL"/>
        </w:rPr>
      </w:pPr>
    </w:p>
    <w:p w14:paraId="06A98D20" w14:textId="77777777" w:rsidR="00DD5D57" w:rsidRPr="00DD5D57" w:rsidRDefault="00DD5D57" w:rsidP="00DD5D57">
      <w:pPr>
        <w:jc w:val="both"/>
        <w:rPr>
          <w:rFonts w:cs="Arial"/>
          <w:lang w:val="pl-PL"/>
        </w:rPr>
      </w:pPr>
    </w:p>
    <w:p w14:paraId="06E27225" w14:textId="60B3A7EE" w:rsidR="004C6E28" w:rsidRPr="00DD5D57" w:rsidRDefault="004C6E28" w:rsidP="001B3917">
      <w:pPr>
        <w:jc w:val="both"/>
        <w:rPr>
          <w:rFonts w:cs="Arial"/>
          <w:lang w:val="pl-PL"/>
        </w:rPr>
      </w:pPr>
    </w:p>
    <w:p w14:paraId="4B3362F2" w14:textId="77777777" w:rsidR="004C6E28" w:rsidRPr="00DD5D57" w:rsidRDefault="004C6E28" w:rsidP="001B3917">
      <w:pPr>
        <w:jc w:val="both"/>
        <w:rPr>
          <w:rFonts w:cs="Arial"/>
          <w:lang w:val="pl-PL"/>
        </w:rPr>
      </w:pPr>
    </w:p>
    <w:tbl>
      <w:tblPr>
        <w:tblStyle w:val="Tabela-Siatka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36"/>
        <w:gridCol w:w="3068"/>
        <w:gridCol w:w="523"/>
        <w:gridCol w:w="3024"/>
      </w:tblGrid>
      <w:tr w:rsidR="00774B5E" w:rsidRPr="00EF53E3" w14:paraId="655AB898" w14:textId="77777777" w:rsidTr="00DD5D57">
        <w:tc>
          <w:tcPr>
            <w:tcW w:w="3369" w:type="dxa"/>
          </w:tcPr>
          <w:p w14:paraId="4B9F0FC3" w14:textId="77777777" w:rsidR="00774B5E" w:rsidRPr="00DD5D57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  <w:r w:rsidRPr="00EF53E3">
              <w:rPr>
                <w:noProof/>
                <w:lang w:val="pl-PL" w:eastAsia="pl-PL"/>
              </w:rPr>
              <w:drawing>
                <wp:anchor distT="0" distB="0" distL="114300" distR="114300" simplePos="0" relativeHeight="251661312" behindDoc="1" locked="0" layoutInCell="1" allowOverlap="1" wp14:anchorId="17EB080F" wp14:editId="13B59714">
                  <wp:simplePos x="0" y="0"/>
                  <wp:positionH relativeFrom="margin">
                    <wp:posOffset>-72390</wp:posOffset>
                  </wp:positionH>
                  <wp:positionV relativeFrom="paragraph">
                    <wp:posOffset>114301</wp:posOffset>
                  </wp:positionV>
                  <wp:extent cx="1952625" cy="457200"/>
                  <wp:effectExtent l="0" t="0" r="0" b="0"/>
                  <wp:wrapNone/>
                  <wp:docPr id="9" name="Picture 1" descr="O:\WSlade\Indus logo ART vect PANTON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t="22857" b="20672"/>
                          <a:stretch/>
                        </pic:blipFill>
                        <pic:spPr bwMode="auto">
                          <a:xfrm>
                            <a:off x="0" y="0"/>
                            <a:ext cx="1959725" cy="45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2C79EB" w14:textId="77777777" w:rsidR="00774B5E" w:rsidRPr="00DD5D57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pl-PL"/>
              </w:rPr>
            </w:pPr>
          </w:p>
          <w:p w14:paraId="354DEA30" w14:textId="77777777" w:rsidR="00774B5E" w:rsidRPr="00DD5D57" w:rsidRDefault="00774B5E" w:rsidP="008E67A3">
            <w:pPr>
              <w:spacing w:line="360" w:lineRule="auto"/>
              <w:jc w:val="center"/>
              <w:rPr>
                <w:b/>
                <w:sz w:val="32"/>
                <w:szCs w:val="28"/>
                <w:lang w:val="pl-PL"/>
              </w:rPr>
            </w:pPr>
          </w:p>
          <w:p w14:paraId="091E07A9" w14:textId="3E7B9191" w:rsidR="00774B5E" w:rsidRPr="00DD5D57" w:rsidRDefault="0037684F" w:rsidP="00DA2365">
            <w:pPr>
              <w:spacing w:line="360" w:lineRule="auto"/>
              <w:rPr>
                <w:b/>
                <w:sz w:val="26"/>
                <w:szCs w:val="26"/>
                <w:lang w:val="en-GB"/>
              </w:rPr>
            </w:pPr>
            <w:hyperlink r:id="rId14" w:history="1">
              <w:r w:rsidR="00DD5D57" w:rsidRPr="00DD5D57">
                <w:rPr>
                  <w:rStyle w:val="Hipercze"/>
                  <w:b/>
                  <w:sz w:val="26"/>
                  <w:szCs w:val="26"/>
                  <w:lang w:val="en-GB"/>
                </w:rPr>
                <w:t>www.industriall-europe.eu</w:t>
              </w:r>
            </w:hyperlink>
            <w:r w:rsidR="00DD5D57" w:rsidRPr="00DD5D57">
              <w:rPr>
                <w:b/>
                <w:sz w:val="26"/>
                <w:szCs w:val="26"/>
                <w:lang w:val="en-GB"/>
              </w:rPr>
              <w:t xml:space="preserve">    </w:t>
            </w:r>
          </w:p>
        </w:tc>
        <w:tc>
          <w:tcPr>
            <w:tcW w:w="236" w:type="dxa"/>
          </w:tcPr>
          <w:p w14:paraId="6018982A" w14:textId="77777777" w:rsidR="00774B5E" w:rsidRPr="00EF53E3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68" w:type="dxa"/>
          </w:tcPr>
          <w:p w14:paraId="2A925ED2" w14:textId="7965E6FA" w:rsidR="00774B5E" w:rsidRPr="00DD5D57" w:rsidRDefault="0037684F" w:rsidP="00DA2365">
            <w:pPr>
              <w:spacing w:line="360" w:lineRule="auto"/>
              <w:rPr>
                <w:rFonts w:cs="Arial"/>
                <w:b/>
                <w:sz w:val="26"/>
                <w:szCs w:val="26"/>
                <w:lang w:val="en-GB"/>
              </w:rPr>
            </w:pPr>
            <w:hyperlink r:id="rId15" w:history="1">
              <w:r w:rsidR="00DD5D57" w:rsidRPr="00DD5D57">
                <w:rPr>
                  <w:rStyle w:val="Hipercze"/>
                  <w:rFonts w:cs="Arial"/>
                  <w:b/>
                  <w:sz w:val="26"/>
                  <w:szCs w:val="26"/>
                  <w:lang w:val="en-GB"/>
                </w:rPr>
                <w:t>www.uni-europa.org</w:t>
              </w:r>
            </w:hyperlink>
            <w:r w:rsidR="00DD5D57" w:rsidRPr="00DD5D57">
              <w:rPr>
                <w:rFonts w:cs="Arial"/>
                <w:b/>
                <w:sz w:val="26"/>
                <w:szCs w:val="26"/>
                <w:lang w:val="en-GB"/>
              </w:rPr>
              <w:t xml:space="preserve"> </w:t>
            </w:r>
            <w:r w:rsidR="00DD5D57" w:rsidRPr="00DD5D57">
              <w:rPr>
                <w:rFonts w:asciiTheme="minorHAnsi" w:hAnsiTheme="minorHAnsi"/>
                <w:noProof/>
                <w:sz w:val="26"/>
                <w:szCs w:val="26"/>
                <w:lang w:val="pl-PL" w:eastAsia="pl-PL"/>
              </w:rPr>
              <w:t xml:space="preserve"> </w:t>
            </w:r>
            <w:r w:rsidR="00774B5E" w:rsidRPr="00DD5D57">
              <w:rPr>
                <w:rFonts w:asciiTheme="minorHAnsi" w:hAnsiTheme="minorHAnsi"/>
                <w:noProof/>
                <w:sz w:val="26"/>
                <w:szCs w:val="26"/>
                <w:lang w:val="pl-PL" w:eastAsia="pl-PL"/>
              </w:rPr>
              <w:drawing>
                <wp:anchor distT="0" distB="0" distL="114300" distR="114300" simplePos="0" relativeHeight="251662336" behindDoc="0" locked="0" layoutInCell="1" allowOverlap="1" wp14:anchorId="6C015303" wp14:editId="5791BB79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4445</wp:posOffset>
                  </wp:positionV>
                  <wp:extent cx="1226820" cy="998855"/>
                  <wp:effectExtent l="0" t="0" r="0" b="0"/>
                  <wp:wrapTopAndBottom/>
                  <wp:docPr id="14" name="Picture 14" descr="C:\Users\aconchon\AppData\Local\Microsoft\Windows\Temporary Internet Files\Content.Outlook\NP31AP1L\2566 UNI Global Europa logo ART RGB Medium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onchon\AppData\Local\Microsoft\Windows\Temporary Internet Files\Content.Outlook\NP31AP1L\2566 UNI Global Europa logo ART RGB Medium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" w:type="dxa"/>
          </w:tcPr>
          <w:p w14:paraId="4C4C76C7" w14:textId="77777777" w:rsidR="00774B5E" w:rsidRPr="00EF53E3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24" w:type="dxa"/>
          </w:tcPr>
          <w:p w14:paraId="373AC9C1" w14:textId="7FF1E8AD" w:rsidR="00774B5E" w:rsidRPr="00DA2365" w:rsidRDefault="00DD5D57" w:rsidP="00DD5D57">
            <w:pPr>
              <w:spacing w:line="360" w:lineRule="auto"/>
              <w:rPr>
                <w:rFonts w:cs="Arial"/>
                <w:b/>
                <w:sz w:val="26"/>
                <w:szCs w:val="26"/>
                <w:lang w:val="en-GB"/>
              </w:rPr>
            </w:pPr>
            <w:r w:rsidRPr="00EF53E3">
              <w:rPr>
                <w:noProof/>
                <w:lang w:val="pl-PL" w:eastAsia="pl-PL"/>
              </w:rPr>
              <w:drawing>
                <wp:anchor distT="0" distB="0" distL="114300" distR="114300" simplePos="0" relativeHeight="251664384" behindDoc="1" locked="0" layoutInCell="1" allowOverlap="1" wp14:anchorId="1D82C8F7" wp14:editId="32352618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-283210</wp:posOffset>
                  </wp:positionV>
                  <wp:extent cx="792480" cy="904875"/>
                  <wp:effectExtent l="0" t="0" r="7620" b="9525"/>
                  <wp:wrapTight wrapText="bothSides">
                    <wp:wrapPolygon edited="0">
                      <wp:start x="0" y="0"/>
                      <wp:lineTo x="0" y="21373"/>
                      <wp:lineTo x="21288" y="21373"/>
                      <wp:lineTo x="2128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15" t="17531" r="27777" b="14156"/>
                          <a:stretch/>
                        </pic:blipFill>
                        <pic:spPr bwMode="auto">
                          <a:xfrm>
                            <a:off x="0" y="0"/>
                            <a:ext cx="7924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8" w:history="1">
              <w:r w:rsidRPr="005D72C5">
                <w:rPr>
                  <w:rStyle w:val="Hipercze"/>
                  <w:rFonts w:cs="Arial"/>
                  <w:b/>
                  <w:sz w:val="26"/>
                  <w:szCs w:val="26"/>
                  <w:lang w:val="en-GB"/>
                </w:rPr>
                <w:t>www.effat.org</w:t>
              </w:r>
            </w:hyperlink>
            <w:r>
              <w:rPr>
                <w:rFonts w:cs="Arial"/>
                <w:b/>
                <w:sz w:val="26"/>
                <w:szCs w:val="26"/>
                <w:lang w:val="en-GB"/>
              </w:rPr>
              <w:t xml:space="preserve"> </w:t>
            </w:r>
          </w:p>
        </w:tc>
      </w:tr>
      <w:tr w:rsidR="00774B5E" w:rsidRPr="00EF53E3" w14:paraId="5F6B3735" w14:textId="77777777" w:rsidTr="00DD5D57">
        <w:tc>
          <w:tcPr>
            <w:tcW w:w="3369" w:type="dxa"/>
          </w:tcPr>
          <w:p w14:paraId="646883FF" w14:textId="77777777" w:rsidR="00774B5E" w:rsidRPr="00BE56B5" w:rsidRDefault="00774B5E" w:rsidP="008E67A3">
            <w:pPr>
              <w:jc w:val="both"/>
              <w:rPr>
                <w:rFonts w:cs="Arial"/>
                <w:b/>
                <w:lang w:val="fr-FR"/>
              </w:rPr>
            </w:pPr>
            <w:r w:rsidRPr="00BE56B5">
              <w:rPr>
                <w:rFonts w:cs="Arial"/>
                <w:b/>
                <w:lang w:val="fr-FR"/>
              </w:rPr>
              <w:t>Bruno Demaître</w:t>
            </w:r>
          </w:p>
          <w:p w14:paraId="189CB33E" w14:textId="77777777" w:rsidR="00774B5E" w:rsidRPr="00F607F7" w:rsidRDefault="00774B5E" w:rsidP="008E67A3">
            <w:pPr>
              <w:jc w:val="both"/>
              <w:rPr>
                <w:rFonts w:cs="Arial"/>
                <w:lang w:val="fr-FR"/>
              </w:rPr>
            </w:pPr>
            <w:r w:rsidRPr="00F607F7">
              <w:rPr>
                <w:rFonts w:cs="Arial"/>
                <w:lang w:val="fr-FR"/>
              </w:rPr>
              <w:t>+32 476 54 09 90</w:t>
            </w:r>
          </w:p>
          <w:p w14:paraId="4E9510B0" w14:textId="77777777" w:rsidR="00774B5E" w:rsidRPr="00BE56B5" w:rsidRDefault="0037684F" w:rsidP="008E67A3">
            <w:pPr>
              <w:jc w:val="both"/>
              <w:rPr>
                <w:rFonts w:cs="Arial"/>
                <w:b/>
                <w:sz w:val="19"/>
                <w:szCs w:val="19"/>
                <w:lang w:val="fr-FR"/>
              </w:rPr>
            </w:pPr>
            <w:hyperlink r:id="rId19" w:history="1">
              <w:r w:rsidR="00774B5E" w:rsidRPr="00F607F7">
                <w:rPr>
                  <w:rStyle w:val="Hipercze"/>
                  <w:rFonts w:cs="Arial"/>
                  <w:sz w:val="19"/>
                  <w:szCs w:val="19"/>
                  <w:lang w:val="fr-FR"/>
                </w:rPr>
                <w:t>bruno.demaitre@industriall-europe.eu</w:t>
              </w:r>
            </w:hyperlink>
          </w:p>
        </w:tc>
        <w:tc>
          <w:tcPr>
            <w:tcW w:w="236" w:type="dxa"/>
          </w:tcPr>
          <w:p w14:paraId="47AE0E7F" w14:textId="77777777" w:rsidR="00774B5E" w:rsidRPr="00F607F7" w:rsidRDefault="00774B5E" w:rsidP="008E67A3">
            <w:pPr>
              <w:jc w:val="both"/>
              <w:rPr>
                <w:rFonts w:cs="Arial"/>
                <w:b/>
                <w:lang w:val="fr-FR"/>
              </w:rPr>
            </w:pPr>
          </w:p>
        </w:tc>
        <w:tc>
          <w:tcPr>
            <w:tcW w:w="3068" w:type="dxa"/>
          </w:tcPr>
          <w:p w14:paraId="7B6F00D0" w14:textId="77777777" w:rsidR="00774B5E" w:rsidRPr="00F607F7" w:rsidRDefault="00774B5E" w:rsidP="008E67A3">
            <w:pPr>
              <w:rPr>
                <w:rFonts w:cs="Arial"/>
                <w:b/>
                <w:lang w:val="sv-SE"/>
              </w:rPr>
            </w:pPr>
            <w:r w:rsidRPr="00F607F7">
              <w:rPr>
                <w:rFonts w:cs="Arial"/>
                <w:b/>
                <w:lang w:val="sv-SE"/>
              </w:rPr>
              <w:t>Annika Flaten</w:t>
            </w:r>
          </w:p>
          <w:p w14:paraId="6C7F343B" w14:textId="77777777" w:rsidR="00774B5E" w:rsidRPr="00F607F7" w:rsidRDefault="00774B5E" w:rsidP="008E67A3">
            <w:pPr>
              <w:rPr>
                <w:rFonts w:ascii="Arial" w:hAnsi="Arial" w:cs="Arial"/>
                <w:color w:val="1F497D"/>
                <w:sz w:val="20"/>
                <w:szCs w:val="20"/>
                <w:lang w:val="sv-SE"/>
              </w:rPr>
            </w:pPr>
            <w:r w:rsidRPr="00F607F7">
              <w:rPr>
                <w:rFonts w:cs="Arial"/>
                <w:lang w:val="sv-SE"/>
              </w:rPr>
              <w:t>+32 478 79 15 39</w:t>
            </w:r>
          </w:p>
          <w:p w14:paraId="6703A142" w14:textId="77777777" w:rsidR="00774B5E" w:rsidRPr="00F607F7" w:rsidRDefault="0037684F" w:rsidP="008E67A3">
            <w:pPr>
              <w:rPr>
                <w:rFonts w:cs="Arial"/>
                <w:b/>
                <w:sz w:val="18"/>
                <w:szCs w:val="18"/>
                <w:lang w:val="sv-SE"/>
              </w:rPr>
            </w:pPr>
            <w:hyperlink r:id="rId20" w:history="1">
              <w:r w:rsidR="00774B5E" w:rsidRPr="00F607F7">
                <w:rPr>
                  <w:rStyle w:val="Hipercze"/>
                  <w:rFonts w:cs="Arial"/>
                  <w:sz w:val="18"/>
                  <w:szCs w:val="18"/>
                  <w:lang w:val="sv-SE"/>
                </w:rPr>
                <w:t>annika.flaten</w:t>
              </w:r>
            </w:hyperlink>
            <w:r w:rsidR="00774B5E" w:rsidRPr="00BE56B5">
              <w:rPr>
                <w:rStyle w:val="Hipercze"/>
                <w:sz w:val="18"/>
                <w:szCs w:val="18"/>
                <w:lang w:val="sv-SE"/>
              </w:rPr>
              <w:t>@</w:t>
            </w:r>
            <w:r w:rsidR="00774B5E" w:rsidRPr="00BE56B5">
              <w:rPr>
                <w:rStyle w:val="Hipercze"/>
                <w:rFonts w:cs="Arial"/>
                <w:sz w:val="18"/>
                <w:szCs w:val="18"/>
                <w:lang w:val="sv-SE"/>
              </w:rPr>
              <w:t>uniglobalunion</w:t>
            </w:r>
            <w:r w:rsidR="00774B5E" w:rsidRPr="00F607F7">
              <w:rPr>
                <w:rStyle w:val="Hipercze"/>
                <w:sz w:val="18"/>
                <w:szCs w:val="18"/>
                <w:lang w:val="sv-SE"/>
              </w:rPr>
              <w:t>.org</w:t>
            </w:r>
          </w:p>
        </w:tc>
        <w:tc>
          <w:tcPr>
            <w:tcW w:w="523" w:type="dxa"/>
          </w:tcPr>
          <w:p w14:paraId="114E5B7D" w14:textId="77777777" w:rsidR="00774B5E" w:rsidRPr="00F607F7" w:rsidRDefault="00774B5E" w:rsidP="008E67A3">
            <w:pPr>
              <w:rPr>
                <w:rFonts w:cs="Arial"/>
                <w:b/>
                <w:lang w:val="sv-SE"/>
              </w:rPr>
            </w:pPr>
          </w:p>
        </w:tc>
        <w:tc>
          <w:tcPr>
            <w:tcW w:w="3024" w:type="dxa"/>
          </w:tcPr>
          <w:p w14:paraId="06187D37" w14:textId="77777777" w:rsidR="00774B5E" w:rsidRPr="00A54864" w:rsidRDefault="00774B5E" w:rsidP="008E67A3">
            <w:pPr>
              <w:jc w:val="both"/>
              <w:rPr>
                <w:rFonts w:cs="Arial"/>
                <w:b/>
                <w:lang w:val="it-IT"/>
              </w:rPr>
            </w:pPr>
            <w:r w:rsidRPr="00A54864">
              <w:rPr>
                <w:rFonts w:cs="Arial"/>
                <w:b/>
                <w:lang w:val="it-IT"/>
              </w:rPr>
              <w:t>Enrico Somaglia</w:t>
            </w:r>
          </w:p>
          <w:p w14:paraId="7488604C" w14:textId="77777777" w:rsidR="00774B5E" w:rsidRPr="00A54864" w:rsidRDefault="00774B5E" w:rsidP="008E67A3">
            <w:pPr>
              <w:jc w:val="both"/>
              <w:rPr>
                <w:rFonts w:cs="Arial"/>
                <w:lang w:val="it-IT"/>
              </w:rPr>
            </w:pPr>
            <w:r w:rsidRPr="00A54864">
              <w:rPr>
                <w:rFonts w:cs="Arial"/>
                <w:lang w:val="it-IT"/>
              </w:rPr>
              <w:t>+32 491 61 71 00</w:t>
            </w:r>
          </w:p>
          <w:p w14:paraId="2EE34217" w14:textId="77777777" w:rsidR="00774B5E" w:rsidRPr="00A54864" w:rsidRDefault="0037684F" w:rsidP="008E67A3">
            <w:pPr>
              <w:jc w:val="both"/>
              <w:rPr>
                <w:rFonts w:cs="Arial"/>
                <w:b/>
                <w:lang w:val="it-IT"/>
              </w:rPr>
            </w:pPr>
            <w:hyperlink r:id="rId21" w:history="1">
              <w:r w:rsidR="00774B5E" w:rsidRPr="00A54864">
                <w:rPr>
                  <w:rStyle w:val="Hipercze"/>
                  <w:rFonts w:cs="Arial"/>
                  <w:lang w:val="it-IT"/>
                </w:rPr>
                <w:t>e.somaglia@effat.org</w:t>
              </w:r>
            </w:hyperlink>
            <w:r w:rsidR="00774B5E" w:rsidRPr="00A54864">
              <w:rPr>
                <w:rFonts w:cs="Arial"/>
                <w:lang w:val="it-IT"/>
              </w:rPr>
              <w:t xml:space="preserve"> </w:t>
            </w:r>
          </w:p>
        </w:tc>
      </w:tr>
      <w:tr w:rsidR="00774B5E" w:rsidRPr="00EF53E3" w14:paraId="4E19643D" w14:textId="77777777" w:rsidTr="00DD5D57">
        <w:trPr>
          <w:trHeight w:val="736"/>
        </w:trPr>
        <w:tc>
          <w:tcPr>
            <w:tcW w:w="3369" w:type="dxa"/>
          </w:tcPr>
          <w:p w14:paraId="2F31D7B4" w14:textId="77777777" w:rsidR="00774B5E" w:rsidRPr="00A54864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36" w:type="dxa"/>
          </w:tcPr>
          <w:p w14:paraId="262CDA00" w14:textId="77777777" w:rsidR="00774B5E" w:rsidRPr="00A54864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068" w:type="dxa"/>
          </w:tcPr>
          <w:p w14:paraId="21B40207" w14:textId="77777777" w:rsidR="00774B5E" w:rsidRPr="00A54864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523" w:type="dxa"/>
          </w:tcPr>
          <w:p w14:paraId="11BE79B9" w14:textId="77777777" w:rsidR="00774B5E" w:rsidRPr="00A54864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024" w:type="dxa"/>
          </w:tcPr>
          <w:p w14:paraId="53506401" w14:textId="77777777" w:rsidR="00774B5E" w:rsidRPr="00A54864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</w:tc>
      </w:tr>
      <w:tr w:rsidR="00774B5E" w:rsidRPr="00EF53E3" w14:paraId="7241686F" w14:textId="77777777" w:rsidTr="00DD5D57">
        <w:tc>
          <w:tcPr>
            <w:tcW w:w="3369" w:type="dxa"/>
          </w:tcPr>
          <w:p w14:paraId="3F2744E3" w14:textId="77777777" w:rsidR="00774B5E" w:rsidRPr="00A54864" w:rsidRDefault="00774B5E" w:rsidP="008E67A3">
            <w:pPr>
              <w:spacing w:line="360" w:lineRule="auto"/>
              <w:rPr>
                <w:rFonts w:cs="Arial"/>
                <w:b/>
                <w:sz w:val="28"/>
                <w:szCs w:val="28"/>
                <w:lang w:val="it-IT"/>
              </w:rPr>
            </w:pPr>
            <w:r w:rsidRPr="00EF53E3">
              <w:rPr>
                <w:noProof/>
                <w:lang w:val="pl-PL" w:eastAsia="pl-PL"/>
              </w:rPr>
              <w:drawing>
                <wp:anchor distT="0" distB="0" distL="114300" distR="114300" simplePos="0" relativeHeight="251659264" behindDoc="1" locked="0" layoutInCell="1" allowOverlap="1" wp14:anchorId="52C9F634" wp14:editId="28F710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71755</wp:posOffset>
                  </wp:positionV>
                  <wp:extent cx="163893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341" y="21046"/>
                      <wp:lineTo x="21341" y="0"/>
                      <wp:lineTo x="0" y="0"/>
                    </wp:wrapPolygon>
                  </wp:wrapTight>
                  <wp:docPr id="6" name="Picture 6" descr="\\efbhdc\Data2\stephen\Desktop\logo efbww_h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fbhdc\Data2\stephen\Desktop\logo efbww_h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8A924D" w14:textId="77777777" w:rsidR="00774B5E" w:rsidRPr="00A54864" w:rsidRDefault="00774B5E" w:rsidP="008E67A3">
            <w:pPr>
              <w:spacing w:line="360" w:lineRule="auto"/>
              <w:rPr>
                <w:rFonts w:cs="Arial"/>
                <w:b/>
                <w:sz w:val="28"/>
                <w:szCs w:val="28"/>
                <w:lang w:val="it-IT"/>
              </w:rPr>
            </w:pPr>
          </w:p>
          <w:p w14:paraId="3F1B8C02" w14:textId="77777777" w:rsidR="00774B5E" w:rsidRPr="00A54864" w:rsidRDefault="00774B5E" w:rsidP="008E67A3">
            <w:pPr>
              <w:spacing w:line="360" w:lineRule="auto"/>
              <w:rPr>
                <w:rFonts w:cs="Arial"/>
                <w:b/>
                <w:sz w:val="28"/>
                <w:szCs w:val="28"/>
                <w:lang w:val="it-IT"/>
              </w:rPr>
            </w:pPr>
          </w:p>
          <w:p w14:paraId="1ED7021E" w14:textId="77777777" w:rsidR="00774B5E" w:rsidRPr="00EF53E3" w:rsidRDefault="00774B5E" w:rsidP="008E67A3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EF53E3">
              <w:rPr>
                <w:rFonts w:cs="Arial"/>
                <w:b/>
                <w:sz w:val="28"/>
                <w:szCs w:val="28"/>
                <w:lang w:val="en-GB"/>
              </w:rPr>
              <w:t>www.efbww.eu</w:t>
            </w:r>
          </w:p>
        </w:tc>
        <w:tc>
          <w:tcPr>
            <w:tcW w:w="236" w:type="dxa"/>
          </w:tcPr>
          <w:p w14:paraId="39790720" w14:textId="77777777" w:rsidR="00774B5E" w:rsidRPr="00EF53E3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68" w:type="dxa"/>
          </w:tcPr>
          <w:p w14:paraId="73132260" w14:textId="77777777" w:rsidR="00774B5E" w:rsidRPr="00EF53E3" w:rsidRDefault="00774B5E" w:rsidP="008E67A3">
            <w:pPr>
              <w:rPr>
                <w:rFonts w:cs="Arial"/>
                <w:b/>
                <w:sz w:val="28"/>
                <w:szCs w:val="28"/>
                <w:lang w:val="en-GB"/>
              </w:rPr>
            </w:pPr>
            <w:r w:rsidRPr="00EF53E3">
              <w:rPr>
                <w:noProof/>
                <w:lang w:val="pl-PL" w:eastAsia="pl-PL"/>
              </w:rPr>
              <w:drawing>
                <wp:anchor distT="0" distB="0" distL="114300" distR="114300" simplePos="0" relativeHeight="251660288" behindDoc="1" locked="0" layoutInCell="1" allowOverlap="1" wp14:anchorId="29331A75" wp14:editId="288ACB2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106680</wp:posOffset>
                  </wp:positionV>
                  <wp:extent cx="1085215" cy="662940"/>
                  <wp:effectExtent l="0" t="0" r="635" b="3810"/>
                  <wp:wrapTopAndBottom/>
                  <wp:docPr id="7" name="Picture 7" descr="C:\Users\aconchon\AppData\Local\Microsoft\Windows\Temporary Internet Files\Content.Outlook\NP31AP1L\EPSU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onchon\AppData\Local\Microsoft\Windows\Temporary Internet Files\Content.Outlook\NP31AP1L\EPSU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1AAF37" w14:textId="77777777" w:rsidR="00774B5E" w:rsidRPr="00EF53E3" w:rsidRDefault="00774B5E" w:rsidP="008E67A3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EF53E3">
              <w:rPr>
                <w:rFonts w:cs="Arial"/>
                <w:b/>
                <w:sz w:val="28"/>
                <w:szCs w:val="28"/>
                <w:lang w:val="en-GB"/>
              </w:rPr>
              <w:t>www.epsu.org</w:t>
            </w:r>
          </w:p>
        </w:tc>
        <w:tc>
          <w:tcPr>
            <w:tcW w:w="523" w:type="dxa"/>
          </w:tcPr>
          <w:p w14:paraId="5AC0B203" w14:textId="77777777" w:rsidR="00774B5E" w:rsidRPr="00EF53E3" w:rsidRDefault="00774B5E" w:rsidP="008E67A3">
            <w:pPr>
              <w:spacing w:line="360" w:lineRule="auto"/>
              <w:jc w:val="both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  <w:tc>
          <w:tcPr>
            <w:tcW w:w="3024" w:type="dxa"/>
          </w:tcPr>
          <w:p w14:paraId="2D79FF8C" w14:textId="77777777" w:rsidR="00774B5E" w:rsidRPr="00EF53E3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 w:rsidRPr="00EF53E3">
              <w:rPr>
                <w:noProof/>
                <w:lang w:val="pl-PL" w:eastAsia="pl-PL"/>
              </w:rPr>
              <w:drawing>
                <wp:anchor distT="0" distB="0" distL="114300" distR="114300" simplePos="0" relativeHeight="251663360" behindDoc="0" locked="0" layoutInCell="1" allowOverlap="1" wp14:anchorId="6F9F758C" wp14:editId="536D5D6A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67310</wp:posOffset>
                  </wp:positionV>
                  <wp:extent cx="898525" cy="893445"/>
                  <wp:effectExtent l="0" t="0" r="0" b="1905"/>
                  <wp:wrapSquare wrapText="bothSides"/>
                  <wp:docPr id="15" name="Picture 15" descr="C:\Users\aconchon\AppData\Local\Microsoft\Windows\Temporary Internet Files\Content.Outlook\NP31AP1L\ETFlogo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onchon\AppData\Local\Microsoft\Windows\Temporary Internet Files\Content.Outlook\NP31AP1L\ETFlogo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4D6B43" w14:textId="77777777" w:rsidR="00774B5E" w:rsidRPr="00EF53E3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14:paraId="0118B52C" w14:textId="77777777" w:rsidR="00774B5E" w:rsidRPr="00EF53E3" w:rsidRDefault="00774B5E" w:rsidP="008E67A3">
            <w:pPr>
              <w:spacing w:line="360" w:lineRule="auto"/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  <w:p w14:paraId="2BEB0591" w14:textId="77777777" w:rsidR="00774B5E" w:rsidRPr="00EF53E3" w:rsidRDefault="00774B5E" w:rsidP="008E67A3">
            <w:pPr>
              <w:spacing w:line="360" w:lineRule="auto"/>
              <w:rPr>
                <w:rFonts w:cs="Arial"/>
                <w:b/>
                <w:sz w:val="28"/>
                <w:szCs w:val="28"/>
                <w:lang w:val="en-GB"/>
              </w:rPr>
            </w:pPr>
            <w:r w:rsidRPr="00EF53E3">
              <w:rPr>
                <w:rFonts w:cs="Arial"/>
                <w:b/>
                <w:sz w:val="28"/>
                <w:szCs w:val="28"/>
                <w:lang w:val="en-GB"/>
              </w:rPr>
              <w:t>www.etf-europe.org</w:t>
            </w:r>
          </w:p>
        </w:tc>
      </w:tr>
      <w:tr w:rsidR="00774B5E" w:rsidRPr="00EF53E3" w14:paraId="2FE86241" w14:textId="77777777" w:rsidTr="00DD5D57">
        <w:tc>
          <w:tcPr>
            <w:tcW w:w="3369" w:type="dxa"/>
          </w:tcPr>
          <w:p w14:paraId="52507115" w14:textId="77777777" w:rsidR="00774B5E" w:rsidRPr="00F607F7" w:rsidRDefault="00774B5E" w:rsidP="008E67A3">
            <w:pPr>
              <w:jc w:val="both"/>
              <w:rPr>
                <w:rFonts w:cs="Arial"/>
                <w:b/>
                <w:lang w:val="nl-BE"/>
              </w:rPr>
            </w:pPr>
            <w:r w:rsidRPr="00F607F7">
              <w:rPr>
                <w:rFonts w:cs="Arial"/>
                <w:b/>
                <w:lang w:val="nl-BE"/>
              </w:rPr>
              <w:t>Thilo Janssen</w:t>
            </w:r>
          </w:p>
          <w:p w14:paraId="730F1382" w14:textId="77777777" w:rsidR="00774B5E" w:rsidRPr="00F607F7" w:rsidRDefault="00774B5E" w:rsidP="008E67A3">
            <w:pPr>
              <w:jc w:val="both"/>
              <w:rPr>
                <w:rFonts w:cs="Arial"/>
                <w:lang w:val="nl-BE"/>
              </w:rPr>
            </w:pPr>
            <w:r w:rsidRPr="00F607F7">
              <w:rPr>
                <w:rFonts w:cs="Arial"/>
                <w:lang w:val="nl-BE"/>
              </w:rPr>
              <w:t>+32 473 13 43 27</w:t>
            </w:r>
          </w:p>
          <w:p w14:paraId="246C5D1C" w14:textId="77777777" w:rsidR="00774B5E" w:rsidRPr="00F607F7" w:rsidRDefault="0037684F" w:rsidP="008E67A3">
            <w:pPr>
              <w:jc w:val="both"/>
              <w:rPr>
                <w:rFonts w:cs="Arial"/>
                <w:b/>
                <w:lang w:val="nl-BE"/>
              </w:rPr>
            </w:pPr>
            <w:hyperlink r:id="rId25" w:history="1">
              <w:r w:rsidR="00774B5E" w:rsidRPr="00F607F7">
                <w:rPr>
                  <w:rStyle w:val="Hipercze"/>
                  <w:rFonts w:eastAsia="Calibri" w:cs="Arial"/>
                  <w:lang w:val="pt-PT"/>
                </w:rPr>
                <w:t>tjanssen@efbww.eu</w:t>
              </w:r>
            </w:hyperlink>
          </w:p>
        </w:tc>
        <w:tc>
          <w:tcPr>
            <w:tcW w:w="236" w:type="dxa"/>
          </w:tcPr>
          <w:p w14:paraId="6C3CD0D0" w14:textId="77777777" w:rsidR="00774B5E" w:rsidRPr="00F607F7" w:rsidRDefault="00774B5E" w:rsidP="008E67A3">
            <w:pPr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068" w:type="dxa"/>
          </w:tcPr>
          <w:p w14:paraId="7423AD00" w14:textId="77777777" w:rsidR="00774B5E" w:rsidRPr="00BE56B5" w:rsidRDefault="00774B5E" w:rsidP="008E67A3">
            <w:pPr>
              <w:jc w:val="both"/>
              <w:rPr>
                <w:rFonts w:cs="Arial"/>
                <w:b/>
                <w:lang w:val="fr-FR"/>
              </w:rPr>
            </w:pPr>
            <w:r w:rsidRPr="00BE56B5">
              <w:rPr>
                <w:rFonts w:cs="Arial"/>
                <w:b/>
                <w:lang w:val="fr-FR"/>
              </w:rPr>
              <w:t>Guillaume Durivaux</w:t>
            </w:r>
          </w:p>
          <w:p w14:paraId="17B0D981" w14:textId="77777777" w:rsidR="00774B5E" w:rsidRPr="00F607F7" w:rsidRDefault="00774B5E" w:rsidP="008E67A3">
            <w:pPr>
              <w:jc w:val="both"/>
              <w:rPr>
                <w:rFonts w:cs="Arial"/>
                <w:lang w:val="fr-FR"/>
              </w:rPr>
            </w:pPr>
            <w:r w:rsidRPr="00F607F7">
              <w:rPr>
                <w:rFonts w:cs="Arial"/>
                <w:lang w:val="fr-FR"/>
              </w:rPr>
              <w:t>+32 489 39 48 91</w:t>
            </w:r>
          </w:p>
          <w:p w14:paraId="7694F11E" w14:textId="77777777" w:rsidR="00774B5E" w:rsidRPr="00BE56B5" w:rsidRDefault="0037684F" w:rsidP="008E67A3">
            <w:pPr>
              <w:jc w:val="both"/>
              <w:rPr>
                <w:rFonts w:cs="Arial"/>
                <w:b/>
                <w:lang w:val="fr-FR"/>
              </w:rPr>
            </w:pPr>
            <w:hyperlink r:id="rId26" w:history="1">
              <w:r w:rsidR="00774B5E" w:rsidRPr="00F607F7">
                <w:rPr>
                  <w:rStyle w:val="Hipercze"/>
                  <w:rFonts w:cs="Arial"/>
                  <w:lang w:val="fr-FR"/>
                </w:rPr>
                <w:t>gdurivaux@epsu.org</w:t>
              </w:r>
            </w:hyperlink>
            <w:r w:rsidR="00774B5E" w:rsidRPr="00BE56B5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523" w:type="dxa"/>
          </w:tcPr>
          <w:p w14:paraId="4AF30223" w14:textId="77777777" w:rsidR="00774B5E" w:rsidRPr="00F607F7" w:rsidRDefault="00774B5E" w:rsidP="008E67A3">
            <w:pPr>
              <w:jc w:val="both"/>
              <w:rPr>
                <w:rFonts w:cs="Arial"/>
                <w:b/>
                <w:lang w:val="fr-FR"/>
              </w:rPr>
            </w:pPr>
          </w:p>
        </w:tc>
        <w:tc>
          <w:tcPr>
            <w:tcW w:w="3024" w:type="dxa"/>
          </w:tcPr>
          <w:p w14:paraId="67A5C477" w14:textId="77777777" w:rsidR="00774B5E" w:rsidRPr="00F607F7" w:rsidRDefault="00774B5E" w:rsidP="008E67A3">
            <w:pPr>
              <w:rPr>
                <w:rFonts w:cs="Arial"/>
                <w:b/>
                <w:lang w:val="sv-SE"/>
              </w:rPr>
            </w:pPr>
            <w:r w:rsidRPr="00F607F7">
              <w:rPr>
                <w:rFonts w:cs="Arial"/>
                <w:b/>
                <w:lang w:val="sv-SE"/>
              </w:rPr>
              <w:t>Myriam Chaffart</w:t>
            </w:r>
          </w:p>
          <w:p w14:paraId="5D6EFB92" w14:textId="77777777" w:rsidR="00774B5E" w:rsidRPr="00F607F7" w:rsidRDefault="00774B5E" w:rsidP="008E67A3">
            <w:pPr>
              <w:rPr>
                <w:rFonts w:cs="Arial"/>
                <w:lang w:val="sv-SE"/>
              </w:rPr>
            </w:pPr>
            <w:r w:rsidRPr="00F607F7">
              <w:rPr>
                <w:rFonts w:cs="Arial"/>
                <w:lang w:val="sv-SE"/>
              </w:rPr>
              <w:t>+32 475 34 36 51</w:t>
            </w:r>
          </w:p>
          <w:p w14:paraId="05B5F0ED" w14:textId="77777777" w:rsidR="00774B5E" w:rsidRPr="00BE56B5" w:rsidRDefault="0037684F" w:rsidP="008E67A3">
            <w:pPr>
              <w:rPr>
                <w:rFonts w:cs="Arial"/>
                <w:b/>
                <w:lang w:val="sv-SE"/>
              </w:rPr>
            </w:pPr>
            <w:hyperlink r:id="rId27" w:history="1">
              <w:r w:rsidR="00774B5E" w:rsidRPr="00F607F7">
                <w:rPr>
                  <w:rStyle w:val="Hipercze"/>
                  <w:rFonts w:cs="Arial"/>
                  <w:lang w:val="sv-SE"/>
                </w:rPr>
                <w:t>m.chaffart@etf-europe.org</w:t>
              </w:r>
            </w:hyperlink>
            <w:r w:rsidR="00774B5E" w:rsidRPr="00BE56B5">
              <w:rPr>
                <w:rFonts w:cs="Arial"/>
                <w:b/>
                <w:lang w:val="sv-SE"/>
              </w:rPr>
              <w:t xml:space="preserve"> </w:t>
            </w:r>
          </w:p>
        </w:tc>
      </w:tr>
    </w:tbl>
    <w:p w14:paraId="010E2D43" w14:textId="77777777" w:rsidR="00774B5E" w:rsidRPr="00BE56B5" w:rsidRDefault="00774B5E" w:rsidP="00774B5E">
      <w:pPr>
        <w:rPr>
          <w:lang w:val="sv-SE" w:eastAsia="en-GB"/>
        </w:rPr>
      </w:pPr>
    </w:p>
    <w:p w14:paraId="65566642" w14:textId="0CD54440" w:rsidR="00FA7950" w:rsidRPr="00A54864" w:rsidRDefault="00FA7950" w:rsidP="00960313">
      <w:pPr>
        <w:jc w:val="center"/>
        <w:rPr>
          <w:lang w:val="sv-SE"/>
        </w:rPr>
      </w:pPr>
    </w:p>
    <w:p w14:paraId="247C8D0D" w14:textId="593BF5D3" w:rsidR="00404B84" w:rsidRPr="00960313" w:rsidRDefault="00404B84" w:rsidP="00840CA1">
      <w:pPr>
        <w:spacing w:line="360" w:lineRule="auto"/>
        <w:jc w:val="both"/>
        <w:rPr>
          <w:rFonts w:cs="Arial"/>
          <w:b/>
          <w:sz w:val="28"/>
          <w:szCs w:val="28"/>
          <w:lang w:val="sv-SE"/>
        </w:rPr>
      </w:pPr>
    </w:p>
    <w:p w14:paraId="5CB54EBB" w14:textId="77777777" w:rsidR="00840CA1" w:rsidRPr="00960313" w:rsidRDefault="00840CA1" w:rsidP="005B0F28">
      <w:pPr>
        <w:jc w:val="both"/>
        <w:rPr>
          <w:lang w:val="sv-SE"/>
        </w:rPr>
      </w:pPr>
    </w:p>
    <w:p w14:paraId="060B1A66" w14:textId="563B2A42" w:rsidR="005F6FDC" w:rsidRPr="00960313" w:rsidRDefault="005F6FDC">
      <w:pPr>
        <w:autoSpaceDN w:val="0"/>
        <w:textAlignment w:val="baseline"/>
        <w:rPr>
          <w:lang w:val="sv-SE"/>
        </w:rPr>
      </w:pPr>
      <w:r w:rsidRPr="00960313">
        <w:rPr>
          <w:lang w:val="sv-SE"/>
        </w:rPr>
        <w:br w:type="page"/>
      </w:r>
    </w:p>
    <w:p w14:paraId="1393AB74" w14:textId="510F2BC1" w:rsidR="005F6FDC" w:rsidRPr="00A132BF" w:rsidRDefault="00A132BF">
      <w:pPr>
        <w:autoSpaceDN w:val="0"/>
        <w:textAlignment w:val="baseline"/>
        <w:rPr>
          <w:lang w:val="pl-PL"/>
        </w:rPr>
      </w:pPr>
      <w:r w:rsidRPr="00A132BF">
        <w:rPr>
          <w:rStyle w:val="Nagwek1Znak"/>
          <w:lang w:val="pl-PL"/>
        </w:rPr>
        <w:lastRenderedPageBreak/>
        <w:t>Załącznik: przykłady dostosowan</w:t>
      </w:r>
      <w:r>
        <w:rPr>
          <w:rStyle w:val="Nagwek1Znak"/>
          <w:lang w:val="pl-PL"/>
        </w:rPr>
        <w:t>ych porozumień w sprawie ERZ/ SE</w:t>
      </w:r>
    </w:p>
    <w:p w14:paraId="4B31CDC9" w14:textId="77777777" w:rsidR="000341CC" w:rsidRPr="00A132BF" w:rsidRDefault="000341CC">
      <w:pPr>
        <w:autoSpaceDN w:val="0"/>
        <w:textAlignment w:val="baseline"/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376C23" w:rsidRPr="005C68F8" w14:paraId="636CB04F" w14:textId="77777777" w:rsidTr="00753FFD">
        <w:tc>
          <w:tcPr>
            <w:tcW w:w="1838" w:type="dxa"/>
            <w:tcBorders>
              <w:top w:val="dotted" w:sz="4" w:space="0" w:color="auto"/>
            </w:tcBorders>
          </w:tcPr>
          <w:p w14:paraId="5D705F4B" w14:textId="77777777" w:rsidR="003E3E1D" w:rsidRPr="00960313" w:rsidRDefault="003E3E1D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960313">
              <w:rPr>
                <w:rFonts w:asciiTheme="minorHAnsi" w:hAnsiTheme="minorHAnsi" w:cs="Arial"/>
                <w:color w:val="0070C0"/>
                <w:lang w:val="en-GB"/>
              </w:rPr>
              <w:t>Ardo</w:t>
            </w:r>
          </w:p>
          <w:p w14:paraId="31C98E4C" w14:textId="77777777" w:rsidR="003E3E1D" w:rsidRPr="006F629A" w:rsidRDefault="003E3E1D" w:rsidP="00960313">
            <w:pPr>
              <w:autoSpaceDN w:val="0"/>
              <w:spacing w:after="240"/>
              <w:textAlignment w:val="baseline"/>
              <w:rPr>
                <w:lang w:val="en-GB"/>
              </w:rPr>
            </w:pP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1C64D5D9" w14:textId="380F7E1D" w:rsidR="003E3E1D" w:rsidRPr="006F629A" w:rsidRDefault="003E3E1D" w:rsidP="00960313">
            <w:pPr>
              <w:spacing w:after="240"/>
              <w:ind w:left="567" w:right="567"/>
              <w:jc w:val="both"/>
              <w:rPr>
                <w:lang w:val="en-GB"/>
              </w:rPr>
            </w:pPr>
            <w:r w:rsidRPr="00960313">
              <w:rPr>
                <w:rFonts w:asciiTheme="minorHAnsi" w:hAnsiTheme="minorHAnsi" w:cs="Arial"/>
                <w:lang w:val="en-GB"/>
              </w:rPr>
              <w:t>In the event that the UK is no longer a member of the European Union or EEA and the TICER Regulation</w:t>
            </w:r>
            <w:r w:rsidR="00790319" w:rsidRPr="00960313">
              <w:rPr>
                <w:rFonts w:asciiTheme="minorHAnsi" w:hAnsiTheme="minorHAnsi" w:cs="Arial"/>
                <w:lang w:val="en-GB"/>
              </w:rPr>
              <w:t>s</w:t>
            </w:r>
            <w:r w:rsidRPr="00960313">
              <w:rPr>
                <w:rFonts w:asciiTheme="minorHAnsi" w:hAnsiTheme="minorHAnsi" w:cs="Arial"/>
                <w:lang w:val="en-GB"/>
              </w:rPr>
              <w:t xml:space="preserve"> are no longer applicable to UK employees, Ardo will continue to allow UK employees to be covered by this </w:t>
            </w:r>
            <w:r w:rsidR="00864758">
              <w:rPr>
                <w:rFonts w:asciiTheme="minorHAnsi" w:hAnsiTheme="minorHAnsi" w:cs="Arial"/>
                <w:lang w:val="en-GB"/>
              </w:rPr>
              <w:t>A</w:t>
            </w:r>
            <w:r w:rsidRPr="00960313">
              <w:rPr>
                <w:rFonts w:asciiTheme="minorHAnsi" w:hAnsiTheme="minorHAnsi" w:cs="Arial"/>
                <w:lang w:val="en-GB"/>
              </w:rPr>
              <w:t>greement and allow UK representation with full rights</w:t>
            </w:r>
            <w:r w:rsidR="00864758">
              <w:rPr>
                <w:rFonts w:asciiTheme="minorHAnsi" w:hAnsiTheme="minorHAnsi" w:cs="Arial"/>
                <w:lang w:val="en-GB"/>
              </w:rPr>
              <w:t>,</w:t>
            </w:r>
            <w:r w:rsidRPr="00960313">
              <w:rPr>
                <w:rFonts w:asciiTheme="minorHAnsi" w:hAnsiTheme="minorHAnsi" w:cs="Arial"/>
                <w:lang w:val="en-GB"/>
              </w:rPr>
              <w:t xml:space="preserve"> as outlined in this agreement.</w:t>
            </w:r>
          </w:p>
        </w:tc>
      </w:tr>
      <w:tr w:rsidR="00376C23" w:rsidRPr="005C68F8" w14:paraId="3ED0236B" w14:textId="77777777" w:rsidTr="00753FFD">
        <w:tc>
          <w:tcPr>
            <w:tcW w:w="1838" w:type="dxa"/>
            <w:tcBorders>
              <w:top w:val="dotted" w:sz="4" w:space="0" w:color="auto"/>
            </w:tcBorders>
          </w:tcPr>
          <w:p w14:paraId="4C1A10AB" w14:textId="77777777" w:rsidR="003E3E1D" w:rsidRPr="00960313" w:rsidRDefault="003E3E1D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960313">
              <w:rPr>
                <w:rFonts w:asciiTheme="minorHAnsi" w:hAnsiTheme="minorHAnsi" w:cs="Arial"/>
                <w:color w:val="0070C0"/>
                <w:lang w:val="en-GB"/>
              </w:rPr>
              <w:t>Asahi AEL</w:t>
            </w:r>
          </w:p>
          <w:p w14:paraId="23B32065" w14:textId="77777777" w:rsidR="003E3E1D" w:rsidRPr="006F629A" w:rsidRDefault="003E3E1D" w:rsidP="00960313">
            <w:pPr>
              <w:autoSpaceDN w:val="0"/>
              <w:spacing w:after="240"/>
              <w:textAlignment w:val="baseline"/>
              <w:rPr>
                <w:lang w:val="en-GB"/>
              </w:rPr>
            </w:pP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29EE877A" w14:textId="0B8B125D" w:rsidR="003E3E1D" w:rsidRPr="006F629A" w:rsidRDefault="003E3E1D" w:rsidP="00960313">
            <w:pPr>
              <w:spacing w:after="240"/>
              <w:ind w:left="567" w:right="567"/>
              <w:jc w:val="both"/>
              <w:rPr>
                <w:lang w:val="en-GB"/>
              </w:rPr>
            </w:pPr>
            <w:r w:rsidRPr="00960313">
              <w:rPr>
                <w:rFonts w:asciiTheme="minorHAnsi" w:hAnsiTheme="minorHAnsi" w:cs="Arial"/>
                <w:lang w:val="en-GB"/>
              </w:rPr>
              <w:t xml:space="preserve">In </w:t>
            </w:r>
            <w:r w:rsidR="00463CB8" w:rsidRPr="00960313">
              <w:rPr>
                <w:rFonts w:asciiTheme="minorHAnsi" w:hAnsiTheme="minorHAnsi" w:cs="Arial"/>
                <w:lang w:val="en-GB"/>
              </w:rPr>
              <w:t>the event of</w:t>
            </w:r>
            <w:r w:rsidRPr="00960313">
              <w:rPr>
                <w:rFonts w:asciiTheme="minorHAnsi" w:hAnsiTheme="minorHAnsi" w:cs="Arial"/>
                <w:lang w:val="en-GB"/>
              </w:rPr>
              <w:t xml:space="preserve"> a country leav</w:t>
            </w:r>
            <w:r w:rsidR="00463CB8" w:rsidRPr="00960313">
              <w:rPr>
                <w:rFonts w:asciiTheme="minorHAnsi" w:hAnsiTheme="minorHAnsi" w:cs="Arial"/>
                <w:lang w:val="en-GB"/>
              </w:rPr>
              <w:t>ing</w:t>
            </w:r>
            <w:r w:rsidRPr="00960313">
              <w:rPr>
                <w:rFonts w:asciiTheme="minorHAnsi" w:hAnsiTheme="minorHAnsi" w:cs="Arial"/>
                <w:lang w:val="en-GB"/>
              </w:rPr>
              <w:t xml:space="preserve"> the European Union or the European Economic Area, this country shall remain within the scope of this Agreement.</w:t>
            </w:r>
          </w:p>
        </w:tc>
      </w:tr>
      <w:tr w:rsidR="00376C23" w:rsidRPr="005C68F8" w14:paraId="22C96C72" w14:textId="77777777" w:rsidTr="0033237D">
        <w:tc>
          <w:tcPr>
            <w:tcW w:w="1838" w:type="dxa"/>
            <w:tcBorders>
              <w:top w:val="dotted" w:sz="4" w:space="0" w:color="auto"/>
            </w:tcBorders>
          </w:tcPr>
          <w:p w14:paraId="0C3B02B9" w14:textId="5366B7BA" w:rsidR="003E3E1D" w:rsidRPr="00960313" w:rsidRDefault="003872C6" w:rsidP="00960313">
            <w:pPr>
              <w:spacing w:after="240"/>
              <w:rPr>
                <w:rFonts w:asciiTheme="minorHAnsi" w:hAnsiTheme="minorHAnsi"/>
                <w:color w:val="0070C0"/>
                <w:lang w:val="en-GB"/>
              </w:rPr>
            </w:pPr>
            <w:r w:rsidRPr="00960313">
              <w:rPr>
                <w:rFonts w:asciiTheme="minorHAnsi" w:hAnsiTheme="minorHAnsi" w:cs="Arial"/>
                <w:color w:val="0070C0"/>
                <w:lang w:val="en-GB"/>
              </w:rPr>
              <w:t>Cargill</w:t>
            </w: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4EE42E1A" w14:textId="26A33AEE" w:rsidR="003E3E1D" w:rsidRPr="00960313" w:rsidRDefault="003872C6" w:rsidP="00960313">
            <w:pPr>
              <w:spacing w:after="240"/>
              <w:ind w:left="567" w:right="567"/>
              <w:jc w:val="both"/>
              <w:rPr>
                <w:rFonts w:asciiTheme="minorHAnsi" w:hAnsiTheme="minorHAnsi"/>
                <w:lang w:val="en-GB"/>
              </w:rPr>
            </w:pPr>
            <w:r w:rsidRPr="00960313">
              <w:rPr>
                <w:rFonts w:asciiTheme="minorHAnsi" w:hAnsiTheme="minorHAnsi" w:cs="Arial"/>
                <w:lang w:val="en-GB"/>
              </w:rPr>
              <w:t>The United Kingdom shall also continue to fall within the geographical scope of this Agreement, regardless of the future position of the United Kingdom in the European Union and/or the EEA.</w:t>
            </w:r>
          </w:p>
        </w:tc>
      </w:tr>
      <w:tr w:rsidR="00376C23" w:rsidRPr="005C68F8" w14:paraId="3507287A" w14:textId="77777777" w:rsidTr="00F33725">
        <w:tc>
          <w:tcPr>
            <w:tcW w:w="1838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709DE07A" w14:textId="318A879B" w:rsidR="00654ABB" w:rsidRPr="0073776E" w:rsidRDefault="00654ABB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73776E">
              <w:rPr>
                <w:rFonts w:asciiTheme="minorHAnsi" w:hAnsiTheme="minorHAnsi" w:cs="Arial"/>
                <w:color w:val="0070C0"/>
                <w:lang w:val="en-GB"/>
              </w:rPr>
              <w:t>ETEX</w:t>
            </w:r>
          </w:p>
        </w:tc>
        <w:tc>
          <w:tcPr>
            <w:tcW w:w="779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3E463752" w14:textId="3DBFF83B" w:rsidR="00654ABB" w:rsidRPr="00960EE3" w:rsidRDefault="00654ABB" w:rsidP="00947958">
            <w:pPr>
              <w:ind w:left="608" w:right="585"/>
              <w:jc w:val="both"/>
              <w:rPr>
                <w:lang w:val="en-GB"/>
              </w:rPr>
            </w:pPr>
            <w:r w:rsidRPr="00960EE3">
              <w:rPr>
                <w:lang w:val="en-GB"/>
              </w:rPr>
              <w:t xml:space="preserve">Even if a Brexit would happen, management and the EWC agree that the UK shall remain fully within the scope of the EWC </w:t>
            </w:r>
            <w:r w:rsidR="00F10711">
              <w:rPr>
                <w:lang w:val="en-GB"/>
              </w:rPr>
              <w:t>A</w:t>
            </w:r>
            <w:r w:rsidRPr="00960EE3">
              <w:rPr>
                <w:lang w:val="en-GB"/>
              </w:rPr>
              <w:t>greement. EWC members from the UK shall be treated as all other EWC members as if the UK would still be part of the EU.</w:t>
            </w:r>
          </w:p>
          <w:p w14:paraId="73B9ABF7" w14:textId="18C7A65F" w:rsidR="00B25D43" w:rsidRPr="0073776E" w:rsidRDefault="00B25D43" w:rsidP="00947958">
            <w:pPr>
              <w:ind w:left="608" w:right="585"/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376C23" w:rsidRPr="005C68F8" w14:paraId="0D0C3FAD" w14:textId="77777777" w:rsidTr="00E66A21">
        <w:tc>
          <w:tcPr>
            <w:tcW w:w="1838" w:type="dxa"/>
            <w:tcBorders>
              <w:top w:val="dotted" w:sz="4" w:space="0" w:color="auto"/>
            </w:tcBorders>
          </w:tcPr>
          <w:p w14:paraId="4E7B9777" w14:textId="3BF9377F" w:rsidR="00973EF4" w:rsidRPr="00B25D43" w:rsidRDefault="00973EF4" w:rsidP="00B25D4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E66A21">
              <w:rPr>
                <w:rFonts w:asciiTheme="minorHAnsi" w:hAnsiTheme="minorHAnsi" w:cs="Arial"/>
                <w:color w:val="0070C0"/>
                <w:lang w:val="en-GB"/>
              </w:rPr>
              <w:t>General Electric</w:t>
            </w: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766EA065" w14:textId="0136507D" w:rsidR="00973EF4" w:rsidRPr="00A132BF" w:rsidRDefault="00A132BF" w:rsidP="00A132BF">
            <w:pPr>
              <w:spacing w:after="240"/>
              <w:ind w:left="567" w:right="567"/>
              <w:jc w:val="both"/>
              <w:rPr>
                <w:lang w:val="pl-PL"/>
              </w:rPr>
            </w:pPr>
            <w:r w:rsidRPr="00A132BF">
              <w:rPr>
                <w:rFonts w:asciiTheme="minorHAnsi" w:hAnsiTheme="minorHAnsi" w:cs="Arial"/>
                <w:lang w:val="pl-PL"/>
              </w:rPr>
              <w:t>W przypadku</w:t>
            </w:r>
            <w:r>
              <w:rPr>
                <w:rFonts w:asciiTheme="minorHAnsi" w:hAnsiTheme="minorHAnsi" w:cs="Arial"/>
                <w:lang w:val="pl-PL"/>
              </w:rPr>
              <w:t>,</w:t>
            </w:r>
            <w:r w:rsidRPr="00A132BF">
              <w:rPr>
                <w:rFonts w:asciiTheme="minorHAnsi" w:hAnsiTheme="minorHAnsi" w:cs="Arial"/>
                <w:lang w:val="pl-PL"/>
              </w:rPr>
              <w:t xml:space="preserve"> gdy Wielka Brytania przestanie być członkiem UE lub EOG, będzie</w:t>
            </w:r>
            <w:r>
              <w:rPr>
                <w:rFonts w:asciiTheme="minorHAnsi" w:hAnsiTheme="minorHAnsi" w:cs="Arial"/>
                <w:lang w:val="pl-PL"/>
              </w:rPr>
              <w:t xml:space="preserve"> jednak </w:t>
            </w:r>
            <w:r w:rsidRPr="00A132BF">
              <w:rPr>
                <w:rFonts w:asciiTheme="minorHAnsi" w:hAnsiTheme="minorHAnsi" w:cs="Arial"/>
                <w:lang w:val="pl-PL"/>
              </w:rPr>
              <w:t xml:space="preserve"> nadal objęta zakresem niniejszej Umowy.</w:t>
            </w:r>
          </w:p>
        </w:tc>
      </w:tr>
      <w:tr w:rsidR="00376C23" w:rsidRPr="005C68F8" w14:paraId="57486DB9" w14:textId="77777777" w:rsidTr="002F54F5">
        <w:tc>
          <w:tcPr>
            <w:tcW w:w="1838" w:type="dxa"/>
            <w:tcBorders>
              <w:top w:val="dotted" w:sz="4" w:space="0" w:color="auto"/>
            </w:tcBorders>
          </w:tcPr>
          <w:p w14:paraId="60B28A50" w14:textId="59A7C8F0" w:rsidR="00973EF4" w:rsidRPr="002F54F5" w:rsidRDefault="00973EF4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>
              <w:rPr>
                <w:rFonts w:asciiTheme="minorHAnsi" w:hAnsiTheme="minorHAnsi" w:cs="Arial"/>
                <w:color w:val="0070C0"/>
                <w:lang w:val="en-GB"/>
              </w:rPr>
              <w:t>Korian Group</w:t>
            </w: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3C7107E3" w14:textId="65055726" w:rsidR="00973EF4" w:rsidRPr="002F54F5" w:rsidRDefault="00973EF4" w:rsidP="00960313">
            <w:pPr>
              <w:pStyle w:val="Akapitzlist"/>
              <w:spacing w:after="240"/>
              <w:ind w:left="567" w:right="567"/>
              <w:jc w:val="both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This </w:t>
            </w:r>
            <w:r w:rsidR="00F10711">
              <w:rPr>
                <w:rFonts w:asciiTheme="minorHAnsi" w:hAnsiTheme="minorHAnsi" w:cs="Arial"/>
                <w:lang w:val="en-GB"/>
              </w:rPr>
              <w:t>A</w:t>
            </w:r>
            <w:r>
              <w:rPr>
                <w:rFonts w:asciiTheme="minorHAnsi" w:hAnsiTheme="minorHAnsi" w:cs="Arial"/>
                <w:lang w:val="en-GB"/>
              </w:rPr>
              <w:t xml:space="preserve">greement applies to subsidiaries or facilities located in one of the 28 EU Member States that leaves the EU. Any such countries shall remain members of the [European </w:t>
            </w:r>
            <w:r w:rsidR="009B3E62">
              <w:rPr>
                <w:rFonts w:asciiTheme="minorHAnsi" w:hAnsiTheme="minorHAnsi" w:cs="Arial"/>
                <w:lang w:val="en-GB"/>
              </w:rPr>
              <w:t>W</w:t>
            </w:r>
            <w:r>
              <w:rPr>
                <w:rFonts w:asciiTheme="minorHAnsi" w:hAnsiTheme="minorHAnsi" w:cs="Arial"/>
                <w:lang w:val="en-GB"/>
              </w:rPr>
              <w:t xml:space="preserve">orks] Council. </w:t>
            </w:r>
          </w:p>
        </w:tc>
      </w:tr>
      <w:tr w:rsidR="00376C23" w:rsidRPr="005C68F8" w14:paraId="0804945B" w14:textId="77777777" w:rsidTr="002F54F5">
        <w:tc>
          <w:tcPr>
            <w:tcW w:w="1838" w:type="dxa"/>
            <w:tcBorders>
              <w:top w:val="dotted" w:sz="4" w:space="0" w:color="auto"/>
            </w:tcBorders>
          </w:tcPr>
          <w:p w14:paraId="56627815" w14:textId="77777777" w:rsidR="00973EF4" w:rsidRPr="002F54F5" w:rsidRDefault="00973EF4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2F54F5">
              <w:rPr>
                <w:rFonts w:asciiTheme="minorHAnsi" w:hAnsiTheme="minorHAnsi" w:cs="Arial"/>
                <w:color w:val="0070C0"/>
                <w:lang w:val="en-GB"/>
              </w:rPr>
              <w:t>Kuehne+Nagel</w:t>
            </w:r>
          </w:p>
          <w:p w14:paraId="1AA5ABDA" w14:textId="77777777" w:rsidR="00973EF4" w:rsidRPr="006F629A" w:rsidRDefault="00973EF4" w:rsidP="00960313">
            <w:pPr>
              <w:autoSpaceDN w:val="0"/>
              <w:spacing w:after="240"/>
              <w:textAlignment w:val="baseline"/>
              <w:rPr>
                <w:lang w:val="en-GB"/>
              </w:rPr>
            </w:pP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60BE8516" w14:textId="37369BB6" w:rsidR="00973EF4" w:rsidRPr="006F629A" w:rsidRDefault="00973EF4" w:rsidP="00960313">
            <w:pPr>
              <w:pStyle w:val="Akapitzlist"/>
              <w:spacing w:after="240"/>
              <w:ind w:left="567" w:right="567"/>
              <w:jc w:val="both"/>
              <w:rPr>
                <w:lang w:val="en-GB"/>
              </w:rPr>
            </w:pPr>
            <w:r w:rsidRPr="002F54F5">
              <w:rPr>
                <w:rFonts w:asciiTheme="minorHAnsi" w:hAnsiTheme="minorHAnsi" w:cs="Arial"/>
                <w:lang w:val="en-GB"/>
              </w:rPr>
              <w:t>Any founding country of the EWC</w:t>
            </w:r>
            <w:r w:rsidR="00F10711">
              <w:rPr>
                <w:rFonts w:asciiTheme="minorHAnsi" w:hAnsiTheme="minorHAnsi" w:cs="Arial"/>
                <w:lang w:val="en-GB"/>
              </w:rPr>
              <w:t>,</w:t>
            </w:r>
            <w:r w:rsidRPr="002F54F5">
              <w:rPr>
                <w:rFonts w:asciiTheme="minorHAnsi" w:hAnsiTheme="minorHAnsi" w:cs="Arial"/>
                <w:lang w:val="en-GB"/>
              </w:rPr>
              <w:t xml:space="preserve"> as established in 2014 and listed in Annex 1 of the Agreement</w:t>
            </w:r>
            <w:r w:rsidR="00F10711">
              <w:rPr>
                <w:rFonts w:asciiTheme="minorHAnsi" w:hAnsiTheme="minorHAnsi" w:cs="Arial"/>
                <w:lang w:val="en-GB"/>
              </w:rPr>
              <w:t>,</w:t>
            </w:r>
            <w:r w:rsidRPr="002F54F5">
              <w:rPr>
                <w:rFonts w:asciiTheme="minorHAnsi" w:hAnsiTheme="minorHAnsi" w:cs="Arial"/>
                <w:lang w:val="en-GB"/>
              </w:rPr>
              <w:t xml:space="preserve"> will remain part of the Agreement irrespective of the country’s EU and/or EEA membership status at present or future times. </w:t>
            </w:r>
          </w:p>
        </w:tc>
      </w:tr>
      <w:tr w:rsidR="00376C23" w:rsidRPr="005C68F8" w14:paraId="2B837EF0" w14:textId="77777777" w:rsidTr="00D336AD">
        <w:tc>
          <w:tcPr>
            <w:tcW w:w="1838" w:type="dxa"/>
            <w:tcBorders>
              <w:top w:val="dotted" w:sz="4" w:space="0" w:color="auto"/>
            </w:tcBorders>
          </w:tcPr>
          <w:p w14:paraId="2C85EF1E" w14:textId="7E13A1BE" w:rsidR="00704B1C" w:rsidRPr="00EB0109" w:rsidRDefault="00704B1C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EB0109">
              <w:rPr>
                <w:rFonts w:asciiTheme="minorHAnsi" w:hAnsiTheme="minorHAnsi" w:cs="Arial"/>
                <w:color w:val="0070C0"/>
                <w:lang w:val="en-GB"/>
              </w:rPr>
              <w:t>LafargeHolcim</w:t>
            </w: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29332E49" w14:textId="18ED2A78" w:rsidR="00704B1C" w:rsidRPr="00EB0109" w:rsidRDefault="00704B1C" w:rsidP="00960313">
            <w:pPr>
              <w:spacing w:after="240"/>
              <w:ind w:left="567" w:right="567"/>
              <w:jc w:val="both"/>
              <w:rPr>
                <w:rFonts w:asciiTheme="minorHAnsi" w:hAnsiTheme="minorHAnsi" w:cs="Arial"/>
                <w:lang w:val="en-GB"/>
              </w:rPr>
            </w:pPr>
            <w:r w:rsidRPr="00EB0109">
              <w:rPr>
                <w:lang w:val="en-US" w:eastAsia="en-US"/>
              </w:rPr>
              <w:t xml:space="preserve">The present </w:t>
            </w:r>
            <w:r w:rsidR="00864758">
              <w:rPr>
                <w:lang w:val="en-US" w:eastAsia="en-US"/>
              </w:rPr>
              <w:t>A</w:t>
            </w:r>
            <w:r w:rsidRPr="00EB0109">
              <w:rPr>
                <w:lang w:val="en-US" w:eastAsia="en-US"/>
              </w:rPr>
              <w:t>greement is applicable to all LH Group Companies present in the EEA, plus Switzerland, and shall include acceding countries</w:t>
            </w:r>
            <w:r w:rsidR="00F10711">
              <w:rPr>
                <w:lang w:val="en-US" w:eastAsia="en-US"/>
              </w:rPr>
              <w:t>,</w:t>
            </w:r>
            <w:r w:rsidRPr="00EB0109">
              <w:rPr>
                <w:lang w:val="en-US" w:eastAsia="en-US"/>
              </w:rPr>
              <w:t xml:space="preserve"> in keeping with the obligations laid down in Directive 2009/38/EC, or countries leaving the EEA. </w:t>
            </w:r>
          </w:p>
        </w:tc>
      </w:tr>
      <w:tr w:rsidR="00376C23" w:rsidRPr="005C68F8" w14:paraId="64FCCCA1" w14:textId="77777777" w:rsidTr="00D336AD">
        <w:tc>
          <w:tcPr>
            <w:tcW w:w="1838" w:type="dxa"/>
            <w:tcBorders>
              <w:top w:val="dotted" w:sz="4" w:space="0" w:color="auto"/>
            </w:tcBorders>
          </w:tcPr>
          <w:p w14:paraId="480FB968" w14:textId="62D2D57B" w:rsidR="00973EF4" w:rsidRPr="006F629A" w:rsidRDefault="00973EF4" w:rsidP="00B25D43">
            <w:pPr>
              <w:spacing w:after="240"/>
              <w:rPr>
                <w:lang w:val="en-GB"/>
              </w:rPr>
            </w:pPr>
            <w:r w:rsidRPr="00D336AD">
              <w:rPr>
                <w:rFonts w:asciiTheme="minorHAnsi" w:hAnsiTheme="minorHAnsi" w:cs="Arial"/>
                <w:color w:val="0070C0"/>
                <w:lang w:val="en-GB"/>
              </w:rPr>
              <w:t xml:space="preserve">Rockwell Collins </w:t>
            </w: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1E48AC0A" w14:textId="5D82F304" w:rsidR="00973EF4" w:rsidRPr="006F629A" w:rsidRDefault="00973EF4" w:rsidP="00960313">
            <w:pPr>
              <w:spacing w:after="240"/>
              <w:ind w:left="567" w:right="567"/>
              <w:jc w:val="both"/>
              <w:rPr>
                <w:lang w:val="en-GB"/>
              </w:rPr>
            </w:pPr>
            <w:r w:rsidRPr="00D336AD">
              <w:rPr>
                <w:rFonts w:asciiTheme="minorHAnsi" w:hAnsiTheme="minorHAnsi" w:cs="Arial"/>
                <w:lang w:val="en-GB"/>
              </w:rPr>
              <w:t xml:space="preserve">The UK will continue to be fully covered by this EWC </w:t>
            </w:r>
            <w:r w:rsidR="00F10711">
              <w:rPr>
                <w:rFonts w:asciiTheme="minorHAnsi" w:hAnsiTheme="minorHAnsi" w:cs="Arial"/>
                <w:lang w:val="en-GB"/>
              </w:rPr>
              <w:t>A</w:t>
            </w:r>
            <w:r w:rsidRPr="00D336AD">
              <w:rPr>
                <w:rFonts w:asciiTheme="minorHAnsi" w:hAnsiTheme="minorHAnsi" w:cs="Arial"/>
                <w:lang w:val="en-GB"/>
              </w:rPr>
              <w:t>greement after Brexit.</w:t>
            </w:r>
          </w:p>
        </w:tc>
      </w:tr>
      <w:tr w:rsidR="00376C23" w:rsidRPr="005C68F8" w14:paraId="4D4ED8E8" w14:textId="77777777" w:rsidTr="00E974CD">
        <w:tc>
          <w:tcPr>
            <w:tcW w:w="1838" w:type="dxa"/>
            <w:tcBorders>
              <w:top w:val="dotted" w:sz="4" w:space="0" w:color="auto"/>
            </w:tcBorders>
          </w:tcPr>
          <w:p w14:paraId="6D6B01E2" w14:textId="77777777" w:rsidR="00973EF4" w:rsidRPr="00E974CD" w:rsidRDefault="00973EF4" w:rsidP="00960313">
            <w:pPr>
              <w:spacing w:after="240"/>
              <w:rPr>
                <w:rFonts w:asciiTheme="minorHAnsi" w:hAnsiTheme="minorHAnsi" w:cs="Arial"/>
                <w:color w:val="0070C0"/>
                <w:lang w:val="en-GB"/>
              </w:rPr>
            </w:pPr>
            <w:r w:rsidRPr="00E974CD">
              <w:rPr>
                <w:rFonts w:asciiTheme="minorHAnsi" w:hAnsiTheme="minorHAnsi" w:cs="Arial"/>
                <w:color w:val="0070C0"/>
                <w:lang w:val="en-GB"/>
              </w:rPr>
              <w:t>UTC Fire &amp; Security</w:t>
            </w:r>
          </w:p>
          <w:p w14:paraId="3D341BD6" w14:textId="77777777" w:rsidR="00973EF4" w:rsidRPr="006F629A" w:rsidRDefault="00973EF4" w:rsidP="00960313">
            <w:pPr>
              <w:autoSpaceDN w:val="0"/>
              <w:spacing w:after="240"/>
              <w:textAlignment w:val="baseline"/>
              <w:rPr>
                <w:lang w:val="en-GB"/>
              </w:rPr>
            </w:pPr>
          </w:p>
        </w:tc>
        <w:tc>
          <w:tcPr>
            <w:tcW w:w="7791" w:type="dxa"/>
            <w:tcBorders>
              <w:top w:val="dotted" w:sz="4" w:space="0" w:color="auto"/>
            </w:tcBorders>
          </w:tcPr>
          <w:p w14:paraId="131CA767" w14:textId="55A82639" w:rsidR="00973EF4" w:rsidRPr="005F3801" w:rsidRDefault="00973EF4" w:rsidP="006D0468">
            <w:pPr>
              <w:spacing w:after="240"/>
              <w:ind w:left="567" w:right="567"/>
              <w:jc w:val="both"/>
              <w:rPr>
                <w:rFonts w:asciiTheme="minorHAnsi" w:hAnsiTheme="minorHAnsi" w:cs="Arial"/>
                <w:lang w:val="en-GB"/>
              </w:rPr>
            </w:pPr>
            <w:r w:rsidRPr="00E974CD">
              <w:rPr>
                <w:rFonts w:asciiTheme="minorHAnsi" w:hAnsiTheme="minorHAnsi" w:cs="Arial"/>
                <w:lang w:val="en-GB"/>
              </w:rPr>
              <w:t xml:space="preserve">The UK will continue to be considered as a participating country and will continue to come within the scope of the </w:t>
            </w:r>
            <w:r w:rsidR="00864758">
              <w:rPr>
                <w:rFonts w:asciiTheme="minorHAnsi" w:hAnsiTheme="minorHAnsi" w:cs="Arial"/>
                <w:lang w:val="en-GB"/>
              </w:rPr>
              <w:t>A</w:t>
            </w:r>
            <w:r w:rsidRPr="00E974CD">
              <w:rPr>
                <w:rFonts w:asciiTheme="minorHAnsi" w:hAnsiTheme="minorHAnsi" w:cs="Arial"/>
                <w:lang w:val="en-GB"/>
              </w:rPr>
              <w:t xml:space="preserve">greement as indicated in </w:t>
            </w:r>
            <w:r w:rsidR="00864758">
              <w:rPr>
                <w:rFonts w:asciiTheme="minorHAnsi" w:hAnsiTheme="minorHAnsi" w:cs="Arial"/>
                <w:lang w:val="en-GB"/>
              </w:rPr>
              <w:t>A</w:t>
            </w:r>
            <w:r w:rsidRPr="00E974CD">
              <w:rPr>
                <w:rFonts w:asciiTheme="minorHAnsi" w:hAnsiTheme="minorHAnsi" w:cs="Arial"/>
                <w:lang w:val="en-GB"/>
              </w:rPr>
              <w:t>rt</w:t>
            </w:r>
            <w:r w:rsidR="00526B32">
              <w:rPr>
                <w:rFonts w:asciiTheme="minorHAnsi" w:hAnsiTheme="minorHAnsi" w:cs="Arial"/>
                <w:lang w:val="en-GB"/>
              </w:rPr>
              <w:t>.</w:t>
            </w:r>
            <w:r w:rsidRPr="00E974CD">
              <w:rPr>
                <w:rFonts w:asciiTheme="minorHAnsi" w:hAnsiTheme="minorHAnsi" w:cs="Arial"/>
                <w:lang w:val="en-GB"/>
              </w:rPr>
              <w:t xml:space="preserve"> 1 of the current </w:t>
            </w:r>
            <w:r w:rsidR="00864758">
              <w:rPr>
                <w:rFonts w:asciiTheme="minorHAnsi" w:hAnsiTheme="minorHAnsi" w:cs="Arial"/>
                <w:lang w:val="en-GB"/>
              </w:rPr>
              <w:t>A</w:t>
            </w:r>
            <w:r w:rsidRPr="00E974CD">
              <w:rPr>
                <w:rFonts w:asciiTheme="minorHAnsi" w:hAnsiTheme="minorHAnsi" w:cs="Arial"/>
                <w:lang w:val="en-GB"/>
              </w:rPr>
              <w:t>greement</w:t>
            </w:r>
            <w:r w:rsidR="00864758">
              <w:rPr>
                <w:rFonts w:asciiTheme="minorHAnsi" w:hAnsiTheme="minorHAnsi" w:cs="Arial"/>
                <w:lang w:val="en-GB"/>
              </w:rPr>
              <w:t>,</w:t>
            </w:r>
            <w:r w:rsidRPr="00E974CD">
              <w:rPr>
                <w:rFonts w:asciiTheme="minorHAnsi" w:hAnsiTheme="minorHAnsi" w:cs="Arial"/>
                <w:lang w:val="en-GB"/>
              </w:rPr>
              <w:t xml:space="preserve"> regardless of its membership status with the EU.</w:t>
            </w:r>
          </w:p>
        </w:tc>
      </w:tr>
    </w:tbl>
    <w:p w14:paraId="67B6482B" w14:textId="56FB8C2F" w:rsidR="005F6FDC" w:rsidRPr="006F629A" w:rsidRDefault="005F6FDC">
      <w:pPr>
        <w:autoSpaceDN w:val="0"/>
        <w:textAlignment w:val="baseline"/>
        <w:rPr>
          <w:lang w:val="en-GB"/>
        </w:rPr>
      </w:pPr>
    </w:p>
    <w:sectPr w:rsidR="005F6FDC" w:rsidRPr="006F629A" w:rsidSect="006402B9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7" w:h="16839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2BEFE" w14:textId="77777777" w:rsidR="0037684F" w:rsidRDefault="0037684F">
      <w:r>
        <w:separator/>
      </w:r>
    </w:p>
  </w:endnote>
  <w:endnote w:type="continuationSeparator" w:id="0">
    <w:p w14:paraId="36D3D248" w14:textId="77777777" w:rsidR="0037684F" w:rsidRDefault="0037684F">
      <w:r>
        <w:continuationSeparator/>
      </w:r>
    </w:p>
  </w:endnote>
  <w:endnote w:type="continuationNotice" w:id="1">
    <w:p w14:paraId="0FD98460" w14:textId="77777777" w:rsidR="0037684F" w:rsidRDefault="00376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410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7BAC4683" w14:textId="1A0A616A" w:rsidR="0023002B" w:rsidRPr="004D78FD" w:rsidRDefault="00BA3A0B" w:rsidP="00BA3A0B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4D78FD">
          <w:rPr>
            <w:rFonts w:asciiTheme="minorHAnsi" w:hAnsiTheme="minorHAnsi"/>
            <w:noProof/>
            <w:sz w:val="18"/>
            <w:szCs w:val="18"/>
            <w:lang w:val="pl-PL" w:eastAsia="pl-PL"/>
          </w:rPr>
          <mc:AlternateContent>
            <mc:Choice Requires="wps">
              <w:drawing>
                <wp:anchor distT="4294967295" distB="4294967295" distL="114300" distR="114300" simplePos="0" relativeHeight="251667456" behindDoc="0" locked="0" layoutInCell="1" allowOverlap="1" wp14:anchorId="1B47EC76" wp14:editId="7CDE5D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5905500" cy="0"/>
                  <wp:effectExtent l="0" t="0" r="19050" b="19050"/>
                  <wp:wrapNone/>
                  <wp:docPr id="11" name="Gerade Verbindu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05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line w14:anchorId="1A8C1D39" id="Gerade Verbindung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WhwwEAAN8DAAAOAAAAZHJzL2Uyb0RvYy54bWysU02P0zAQvSPxHyzfaZJKRRA13cOu2MsK&#10;Khb27jrjxsJfGnub9N8zdpvwKSEQFyv2vDcz781kezNZw06AUXvX8WZVcwZO+l67Y8c/f3r36g1n&#10;MQnXC+MddPwMkd/sXr7YjqGFtR+86QEZJXGxHUPHh5RCW1VRDmBFXPkAjoLKoxWJrnisehQjZbem&#10;Wtf162r02Af0EmKk17tLkO9KfqVApg9KRUjMdJx6S+XEch7yWe22oj2iCIOW1zbEP3RhhXZUdEl1&#10;J5Jgz6h/SWW1RB+9SivpbeWV0hKKBlLT1D+peRxEgKKFzIlhsSn+v7Ty/WmPTPc0u4YzJyzN6B5Q&#10;9MCeAA/a9c/uyNbZpzHEluC3bo9ZqZzcY3jw8kukWPVDMF9iuMAmhTbDSSqbiu/nxXeYEpP0uHlb&#10;bzY1jUfOsUq0MzFgTPfgLcsfHTfaZUtEK04PMeXSop0h1z4upUsT6Wwgg437CIpkUrGmsMuCwa1B&#10;dhK0GkJKcKnJMilfQWea0sYsxPrPxCs+U6Es39+QF0ap7F1ayFY7j7+rnqa5ZXXBzw5cdGcLDr4/&#10;73EeEW1RUXjd+Lym398L/dt/ufsKAAD//wMAUEsDBBQABgAIAAAAIQAL+Imr3AAAAAYBAAAPAAAA&#10;ZHJzL2Rvd25yZXYueG1sTI/BTsMwDIbvSLxDZCQuiKUMhkZpOgHStANDiJUH8BrTVjRO1aRdx9Nj&#10;xAFOtv/f+v05W02uVSP1ofFs4GqWgCIuvW24MvBerC+XoEJEtth6JgNHCrDKT08yTK0/8BuNu1gp&#10;CeGQooE6xi7VOpQ1OQwz3xGL9+F7h1HGvtK2x4OEu1bPk+RWO2xYLtTY0VNN5educAY260d6XhyH&#10;6sYuNsXFWGxfvl6XxpyfTQ/3oCJN8W8ZfvAFHXJh2vuBbVCtAXkkijqXKu7ddSLN/lfQeab/4+ff&#10;AAAA//8DAFBLAQItABQABgAIAAAAIQC2gziS/gAAAOEBAAATAAAAAAAAAAAAAAAAAAAAAABbQ29u&#10;dGVudF9UeXBlc10ueG1sUEsBAi0AFAAGAAgAAAAhADj9If/WAAAAlAEAAAsAAAAAAAAAAAAAAAAA&#10;LwEAAF9yZWxzLy5yZWxzUEsBAi0AFAAGAAgAAAAhAH4rFaHDAQAA3wMAAA4AAAAAAAAAAAAAAAAA&#10;LgIAAGRycy9lMm9Eb2MueG1sUEsBAi0AFAAGAAgAAAAhAAv4iavcAAAABgEAAA8AAAAAAAAAAAAA&#10;AAAAHQQAAGRycy9kb3ducmV2LnhtbFBLBQYAAAAABAAEAPMAAAAmBQAAAAA=&#10;" strokecolor="#4579b8 [3044]">
                  <o:lock v:ext="edit" shapetype="f"/>
                </v:line>
              </w:pict>
            </mc:Fallback>
          </mc:AlternateContent>
        </w:r>
        <w:r w:rsidRPr="004D78FD">
          <w:rPr>
            <w:rFonts w:asciiTheme="minorHAnsi" w:hAnsiTheme="minorHAnsi"/>
            <w:sz w:val="18"/>
            <w:szCs w:val="18"/>
          </w:rPr>
          <w:fldChar w:fldCharType="begin"/>
        </w:r>
        <w:r w:rsidRPr="004D78F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D78FD">
          <w:rPr>
            <w:rFonts w:asciiTheme="minorHAnsi" w:hAnsiTheme="minorHAnsi"/>
            <w:sz w:val="18"/>
            <w:szCs w:val="18"/>
          </w:rPr>
          <w:fldChar w:fldCharType="separate"/>
        </w:r>
        <w:r w:rsidR="006E7E5E">
          <w:rPr>
            <w:rFonts w:asciiTheme="minorHAnsi" w:hAnsiTheme="minorHAnsi"/>
            <w:noProof/>
            <w:sz w:val="18"/>
            <w:szCs w:val="18"/>
          </w:rPr>
          <w:t>5</w:t>
        </w:r>
        <w:r w:rsidRPr="004D78FD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2555B" w14:textId="75935F26" w:rsidR="003F4A03" w:rsidRDefault="003F4A03" w:rsidP="003F4A03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6D59E4B" wp14:editId="46EB32B8">
              <wp:simplePos x="0" y="0"/>
              <wp:positionH relativeFrom="column">
                <wp:posOffset>45720</wp:posOffset>
              </wp:positionH>
              <wp:positionV relativeFrom="paragraph">
                <wp:posOffset>83820</wp:posOffset>
              </wp:positionV>
              <wp:extent cx="5905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0194D62" id="Gerade Verbindung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6.6pt" to="468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BwwEAAN4DAAAOAAAAZHJzL2Uyb0RvYy54bWysU02P0zAQvSPxHyzfadJKRRA13cOu2MsK&#10;Khb2PnXGjYW/NPY26b/HdprwKSEQFyv2vDcz781kdzMazc5IQTnb8vWq5gytcJ2yp5Z//vTu1RvO&#10;QgTbgXYWW37BwG/2L1/sBt/gxvVOd0gsJbGhGXzL+xh9U1VB9GggrJxHm4LSkYGYrnSqOoIhZTe6&#10;2tT162pw1HlyAkNIr3dTkO9LfilRxA9SBoxMtzz1FstJ5Tzms9rvoDkR+F6JaxvwD10YUDYVXVLd&#10;QQT2TOqXVEYJcsHJuBLOVE5KJbBoSGrW9U9qHnvwWLQkc4JfbAr/L614fz4QU13LN5xZMGlE90jQ&#10;IXtCOirbPdsT22SbBh+ahL61B8pCxWgf/YMTX0KKVT8E8yX4CTZKMhmelLKx2H5ZbMcxMpEet2/r&#10;7bZO0xFzrIJmJnoK8R6dYfmj5VrZ7Ag0cH4IMZeGZoZc+5hKlybiRWMGa/sRZVKZiq0Lu+wX3mpi&#10;Z0ibAUKgjessM+Ur6EyTSuuFWP+ZeMVnKpbd+xvywiiVnY0L2Sjr6HfV4zi3LCf87MCkO1twdN3l&#10;QPOI0hIVhdeFz1v6/b3Qv/2W+68AAAD//wMAUEsDBBQABgAIAAAAIQC3aeKA3AAAAAcBAAAPAAAA&#10;ZHJzL2Rvd25yZXYueG1sTI7PTsJAEMbvJL7DZky8GNgKoli7JWpCOAgxUB9g6Y5tY3e26W5L8ekd&#10;4kFOk+9Pvvkly8HWosfWV44U3E0iEEi5MxUVCj6z1XgBwgdNRteOUMEJPSzTq1GiY+OOtMN+HwrB&#10;I+RjraAMoYml9HmJVvuJa5A4+3Kt1YFlW0jT6iOP21pOo+hBWl0Rfyh1g28l5t/7zipYr17xfX7q&#10;inszX2e3fbbZ/nwslLq5Hl6eQQQcwn8ZzviMDikzHVxHxotaweOUi2zP+HL8NDsbhz9Dpom85E9/&#10;AQAA//8DAFBLAQItABQABgAIAAAAIQC2gziS/gAAAOEBAAATAAAAAAAAAAAAAAAAAAAAAABbQ29u&#10;dGVudF9UeXBlc10ueG1sUEsBAi0AFAAGAAgAAAAhADj9If/WAAAAlAEAAAsAAAAAAAAAAAAAAAAA&#10;LwEAAF9yZWxzLy5yZWxzUEsBAi0AFAAGAAgAAAAhAINc6UHDAQAA3gMAAA4AAAAAAAAAAAAAAAAA&#10;LgIAAGRycy9lMm9Eb2MueG1sUEsBAi0AFAAGAAgAAAAhALdp4oDcAAAABwEAAA8AAAAAAAAAAAAA&#10;AAAAHQQAAGRycy9kb3ducmV2LnhtbFBLBQYAAAAABAAEAPMAAAAmBQAAAAA=&#10;" strokecolor="#4579b8 [3044]">
              <o:lock v:ext="edit" shapetype="f"/>
            </v:line>
          </w:pict>
        </mc:Fallback>
      </mc:AlternateContent>
    </w:r>
    <w:sdt>
      <w:sdtPr>
        <w:id w:val="-504285380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Pr="00293CBA">
          <w:rPr>
            <w:rFonts w:asciiTheme="minorHAnsi" w:hAnsiTheme="minorHAnsi"/>
            <w:sz w:val="18"/>
            <w:szCs w:val="18"/>
            <w:lang w:val="en-GB"/>
          </w:rPr>
          <w:fldChar w:fldCharType="begin"/>
        </w:r>
        <w:r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293CBA">
          <w:rPr>
            <w:rFonts w:asciiTheme="minorHAnsi" w:hAnsiTheme="minorHAnsi"/>
            <w:sz w:val="18"/>
            <w:szCs w:val="18"/>
            <w:lang w:val="en-GB"/>
          </w:rPr>
          <w:fldChar w:fldCharType="separate"/>
        </w:r>
        <w:r w:rsidR="006E7E5E" w:rsidRPr="006E7E5E">
          <w:rPr>
            <w:rFonts w:asciiTheme="minorHAnsi" w:hAnsiTheme="minorHAnsi"/>
            <w:noProof/>
            <w:sz w:val="18"/>
            <w:szCs w:val="18"/>
            <w:lang w:val="en-GB"/>
          </w:rPr>
          <w:t>1</w:t>
        </w:r>
        <w:r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C35A3" w14:textId="77777777" w:rsidR="0037684F" w:rsidRDefault="0037684F">
      <w:bookmarkStart w:id="0" w:name="_Hlk482179558"/>
      <w:bookmarkEnd w:id="0"/>
      <w:r>
        <w:rPr>
          <w:color w:val="000000"/>
        </w:rPr>
        <w:separator/>
      </w:r>
    </w:p>
  </w:footnote>
  <w:footnote w:type="continuationSeparator" w:id="0">
    <w:p w14:paraId="2DA2E1D1" w14:textId="77777777" w:rsidR="0037684F" w:rsidRDefault="0037684F">
      <w:r>
        <w:continuationSeparator/>
      </w:r>
    </w:p>
  </w:footnote>
  <w:footnote w:type="continuationNotice" w:id="1">
    <w:p w14:paraId="7C1EBE4E" w14:textId="77777777" w:rsidR="0037684F" w:rsidRDefault="0037684F"/>
  </w:footnote>
  <w:footnote w:id="2">
    <w:p w14:paraId="6EF6C134" w14:textId="64662A2C" w:rsidR="00176057" w:rsidRPr="00176057" w:rsidRDefault="00176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057">
        <w:t xml:space="preserve">The trade and cooperation agreement between the European Union and the United Kingdom is available </w:t>
      </w:r>
      <w:hyperlink r:id="rId1" w:history="1">
        <w:r w:rsidRPr="006F05D1">
          <w:rPr>
            <w:rStyle w:val="Hipercze"/>
          </w:rPr>
          <w:t>online</w:t>
        </w:r>
      </w:hyperlink>
      <w:r w:rsidRPr="00176057">
        <w:t xml:space="preserve"> in all EU languages. Following ratifications by the European Council and the UK Government, the Trade and Cooperation Agreement came into provisional application on 1 January 2021. Full application is dependent on the ratification of the European Parliament – which is currently foreseen for March 2021 at the latest.</w:t>
      </w:r>
    </w:p>
  </w:footnote>
  <w:footnote w:id="3">
    <w:p w14:paraId="5B468FEC" w14:textId="61613064" w:rsidR="00A94B43" w:rsidRPr="00A94B43" w:rsidRDefault="00A94B43">
      <w:pPr>
        <w:pStyle w:val="Tekstprzypisudolnego"/>
      </w:pPr>
      <w:r>
        <w:rPr>
          <w:rStyle w:val="Odwoanieprzypisudolnego"/>
        </w:rPr>
        <w:footnoteRef/>
      </w:r>
      <w:r>
        <w:t xml:space="preserve"> The </w:t>
      </w:r>
      <w:hyperlink r:id="rId2" w:history="1">
        <w:r w:rsidR="00BF0F12">
          <w:rPr>
            <w:rStyle w:val="Hipercze"/>
          </w:rPr>
          <w:t>European Union (Withdrawal) Act 2018</w:t>
        </w:r>
      </w:hyperlink>
      <w:r>
        <w:t xml:space="preserve"> </w:t>
      </w:r>
    </w:p>
  </w:footnote>
  <w:footnote w:id="4">
    <w:p w14:paraId="51AF6E23" w14:textId="4DEA153D" w:rsidR="00BC7579" w:rsidRPr="00BC7579" w:rsidRDefault="00BC7579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>
        <w:t xml:space="preserve"> </w:t>
      </w:r>
      <w:r w:rsidRPr="00BC7579">
        <w:t xml:space="preserve">See the latest version of the TICE regulation as amended by </w:t>
      </w:r>
      <w:hyperlink r:id="rId3" w:history="1">
        <w:r w:rsidRPr="001572BE">
          <w:rPr>
            <w:rStyle w:val="Hipercze"/>
          </w:rPr>
          <w:t>The Employment Rights (Amendment) (EU Exit) Regulations 2019</w:t>
        </w:r>
      </w:hyperlink>
      <w:r w:rsidR="001572BE">
        <w:t xml:space="preserve"> </w:t>
      </w:r>
      <w:r w:rsidRPr="00BC7579">
        <w:t>.</w:t>
      </w:r>
    </w:p>
  </w:footnote>
  <w:footnote w:id="5">
    <w:p w14:paraId="2078BB8F" w14:textId="425C1AD1" w:rsidR="006E7E5E" w:rsidRPr="006E7E5E" w:rsidRDefault="007E5B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5B70">
        <w:t xml:space="preserve">See the </w:t>
      </w:r>
      <w:bookmarkStart w:id="1" w:name="_GoBack"/>
      <w:bookmarkEnd w:id="1"/>
      <w:r w:rsidR="006E7E5E">
        <w:fldChar w:fldCharType="begin"/>
      </w:r>
      <w:r w:rsidR="006E7E5E">
        <w:instrText xml:space="preserve"> HYPERLINK "https://ec.europa.eu/info/sites/info/files/brexit_files/info_site/transnational_workers_council_en_0.pdf" </w:instrText>
      </w:r>
      <w:r w:rsidR="006E7E5E">
        <w:fldChar w:fldCharType="separate"/>
      </w:r>
      <w:r w:rsidR="006E7E5E" w:rsidRPr="006E7E5E">
        <w:rPr>
          <w:rStyle w:val="Hipercze"/>
        </w:rPr>
        <w:t>European Commission's preparedness notice on EWCs published in April 2020</w:t>
      </w:r>
      <w:r w:rsidR="006E7E5E"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583B" w14:textId="51B27519" w:rsidR="003F4A03" w:rsidRDefault="0099036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0" locked="0" layoutInCell="1" allowOverlap="1" wp14:anchorId="46431C2B" wp14:editId="190825CF">
          <wp:simplePos x="0" y="0"/>
          <wp:positionH relativeFrom="column">
            <wp:posOffset>1348740</wp:posOffset>
          </wp:positionH>
          <wp:positionV relativeFrom="paragraph">
            <wp:posOffset>-114935</wp:posOffset>
          </wp:positionV>
          <wp:extent cx="3200400" cy="426720"/>
          <wp:effectExtent l="0" t="0" r="0" b="0"/>
          <wp:wrapThrough wrapText="bothSides">
            <wp:wrapPolygon edited="0">
              <wp:start x="18000" y="0"/>
              <wp:lineTo x="0" y="964"/>
              <wp:lineTo x="0" y="19286"/>
              <wp:lineTo x="18000" y="20250"/>
              <wp:lineTo x="21471" y="20250"/>
              <wp:lineTo x="21471" y="0"/>
              <wp:lineTo x="1800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A0B" w:rsidRPr="003F4A0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0D01032" wp14:editId="31CDCCA0">
              <wp:simplePos x="0" y="0"/>
              <wp:positionH relativeFrom="column">
                <wp:posOffset>0</wp:posOffset>
              </wp:positionH>
              <wp:positionV relativeFrom="paragraph">
                <wp:posOffset>357505</wp:posOffset>
              </wp:positionV>
              <wp:extent cx="6153150" cy="0"/>
              <wp:effectExtent l="0" t="0" r="19050" b="19050"/>
              <wp:wrapNone/>
              <wp:docPr id="12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0B1A408" id="Gerade Verbindung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28.15pt" to="484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PQ4QEAALIDAAAOAAAAZHJzL2Uyb0RvYy54bWysU0tvEzEQviPxHyzfye6GpmpX2VSiUXop&#10;UKnAfWJ7dy38ksfNJv+esfOghRviYo3n8Xnmm8/Lu701bKciau863sxqzpQTXmo3dPz7t82HG84w&#10;gZNgvFMdPyjkd6v375ZTaNXcj95IFRmBOGyn0PExpdBWFYpRWcCZD8pRsPfRQqJrHCoZYSJ0a6p5&#10;XV9Xk48yRC8UInnXxyBfFfy+VyJ97XtUiZmOU2+pnLGc23xWqyW0Q4QwanFqA/6hCwva0aMXqDUk&#10;YC9R/wVltYgefZ9mwtvK970WqsxA0zT1H9M8jxBUmYXIwXChCf8frPiye4pMS9rdnDMHlnb0oCJI&#10;xX6ouNVOvriBXWWepoAtpd+7p5gnFXv3HB69+IkUq94E8wXDMW3fR5vTaVS2L7wfLryrfWKCnNfN&#10;4mOzoPWIc6yC9lwYIqYH5S3LRseNdpkSaGH3iCk/De05Jbud32hjylqNY1PHbxfzBSEDias3kMi0&#10;gcZFN3AGZiDVihQLInqjZa7OOBiH7b2JbAeknKvNTfNpfUwaMzfFe7uo65OCENJnL4/upj77qbUT&#10;TGnzDX7ueQ04HmtKKJNMJcbl91UR72nE34Rma+vl4SmeWSdhlLKTiLPyXt/Jfv3VVr8AAAD//wMA&#10;UEsDBBQABgAIAAAAIQCLSFrc3AAAAAYBAAAPAAAAZHJzL2Rvd25yZXYueG1sTI9BT8JAEIXvJPyH&#10;zZh4g60aKtRuiZJAvJgoGM5Ld+xWurNNd4HaX+8YD3p8703e+yZf9q4RZ+xC7UnBzTQBgVR6U1Ol&#10;4H23nsxBhKjJ6MYTKvjCAMtiPMp1ZvyF3vC8jZXgEgqZVmBjbDMpQ2nR6TD1LRJnH75zOrLsKmk6&#10;feFy18jbJEml0zXxgtUtriyWx+3JKRjMfPX6bDfDy9P+fphVYbfe7D+Vur7qHx9AROzj3zH84DM6&#10;FMx08CcyQTQK+JGoYJbegeB0kS7YOPwassjlf/ziGwAA//8DAFBLAQItABQABgAIAAAAIQC2gziS&#10;/gAAAOEBAAATAAAAAAAAAAAAAAAAAAAAAABbQ29udGVudF9UeXBlc10ueG1sUEsBAi0AFAAGAAgA&#10;AAAhADj9If/WAAAAlAEAAAsAAAAAAAAAAAAAAAAALwEAAF9yZWxzLy5yZWxzUEsBAi0AFAAGAAgA&#10;AAAhAP+qs9DhAQAAsgMAAA4AAAAAAAAAAAAAAAAALgIAAGRycy9lMm9Eb2MueG1sUEsBAi0AFAAG&#10;AAgAAAAhAItIWtzcAAAABgEAAA8AAAAAAAAAAAAAAAAAOwQAAGRycy9kb3ducmV2LnhtbFBLBQYA&#10;AAAABAAEAPMAAABEBQAAAAA=&#10;" strokecolor="#4a7ebb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06B2" w14:textId="0D8E0035" w:rsidR="003F4A03" w:rsidRDefault="0096031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3600" behindDoc="0" locked="0" layoutInCell="1" allowOverlap="1" wp14:anchorId="496671D7" wp14:editId="208F21AB">
          <wp:simplePos x="0" y="0"/>
          <wp:positionH relativeFrom="column">
            <wp:posOffset>1047750</wp:posOffset>
          </wp:positionH>
          <wp:positionV relativeFrom="paragraph">
            <wp:posOffset>-106045</wp:posOffset>
          </wp:positionV>
          <wp:extent cx="548640" cy="625475"/>
          <wp:effectExtent l="0" t="0" r="3810" b="3175"/>
          <wp:wrapThrough wrapText="bothSides">
            <wp:wrapPolygon edited="0">
              <wp:start x="0" y="0"/>
              <wp:lineTo x="0" y="21052"/>
              <wp:lineTo x="21000" y="21052"/>
              <wp:lineTo x="2100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72" t="19017" r="30657" b="19707"/>
                  <a:stretch/>
                </pic:blipFill>
                <pic:spPr bwMode="auto">
                  <a:xfrm>
                    <a:off x="0" y="0"/>
                    <a:ext cx="54864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D53" w:rsidRPr="00D72BE3">
      <w:rPr>
        <w:noProof/>
        <w:lang w:val="pl-PL" w:eastAsia="pl-PL"/>
      </w:rPr>
      <w:drawing>
        <wp:anchor distT="0" distB="0" distL="114300" distR="114300" simplePos="0" relativeHeight="251670528" behindDoc="0" locked="0" layoutInCell="1" allowOverlap="1" wp14:anchorId="7B8D1979" wp14:editId="4C45DC37">
          <wp:simplePos x="0" y="0"/>
          <wp:positionH relativeFrom="column">
            <wp:posOffset>2564587</wp:posOffset>
          </wp:positionH>
          <wp:positionV relativeFrom="paragraph">
            <wp:posOffset>-170815</wp:posOffset>
          </wp:positionV>
          <wp:extent cx="731520" cy="727530"/>
          <wp:effectExtent l="0" t="0" r="0" b="0"/>
          <wp:wrapSquare wrapText="bothSides"/>
          <wp:docPr id="10" name="Picture 10" descr="C:\Users\aconchon\AppData\Local\Microsoft\Windows\Temporary Internet Files\Content.Outlook\NP31AP1L\ETF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nchon\AppData\Local\Microsoft\Windows\Temporary Internet Files\Content.Outlook\NP31AP1L\ETFlogo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18CC" w:rsidRPr="006D18CC">
      <w:rPr>
        <w:rFonts w:asciiTheme="minorHAnsi" w:hAnsiTheme="minorHAnsi"/>
        <w:noProof/>
        <w:lang w:val="pl-PL" w:eastAsia="pl-PL"/>
      </w:rPr>
      <w:drawing>
        <wp:anchor distT="0" distB="0" distL="114300" distR="114300" simplePos="0" relativeHeight="251672576" behindDoc="0" locked="0" layoutInCell="1" allowOverlap="1" wp14:anchorId="33FA93C0" wp14:editId="5A5A9931">
          <wp:simplePos x="0" y="0"/>
          <wp:positionH relativeFrom="column">
            <wp:posOffset>5308600</wp:posOffset>
          </wp:positionH>
          <wp:positionV relativeFrom="paragraph">
            <wp:posOffset>-176530</wp:posOffset>
          </wp:positionV>
          <wp:extent cx="975360" cy="794385"/>
          <wp:effectExtent l="0" t="0" r="0" b="5715"/>
          <wp:wrapSquare wrapText="bothSides"/>
          <wp:docPr id="13" name="Picture 13" descr="C:\Users\aconchon\AppData\Local\Microsoft\Windows\Temporary Internet Files\Content.Outlook\NP31AP1L\2566 UNI Global Europa logo ART RGB Medium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onchon\AppData\Local\Microsoft\Windows\Temporary Internet Files\Content.Outlook\NP31AP1L\2566 UNI Global Europa logo ART RGB Medium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8CC" w:rsidRPr="003F4A03"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A7068ED" wp14:editId="37120715">
          <wp:simplePos x="0" y="0"/>
          <wp:positionH relativeFrom="margin">
            <wp:posOffset>3292475</wp:posOffset>
          </wp:positionH>
          <wp:positionV relativeFrom="paragraph">
            <wp:posOffset>-43180</wp:posOffset>
          </wp:positionV>
          <wp:extent cx="1958340" cy="533400"/>
          <wp:effectExtent l="0" t="0" r="3810" b="0"/>
          <wp:wrapNone/>
          <wp:docPr id="21" name="Picture 1" descr="O:\WSlade\Indus logo ART vect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4"/>
                  <a:srcRect t="22857" b="20672"/>
                  <a:stretch/>
                </pic:blipFill>
                <pic:spPr bwMode="auto">
                  <a:xfrm>
                    <a:off x="0" y="0"/>
                    <a:ext cx="19583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8CC" w:rsidRPr="003F4A03"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17B4E1B7" wp14:editId="6E6D7581">
          <wp:simplePos x="0" y="0"/>
          <wp:positionH relativeFrom="column">
            <wp:posOffset>1702435</wp:posOffset>
          </wp:positionH>
          <wp:positionV relativeFrom="paragraph">
            <wp:posOffset>-5715</wp:posOffset>
          </wp:positionV>
          <wp:extent cx="748665" cy="457200"/>
          <wp:effectExtent l="0" t="0" r="0" b="0"/>
          <wp:wrapTopAndBottom/>
          <wp:docPr id="8" name="Picture 8" descr="C:\Users\aconchon\AppData\Local\Microsoft\Windows\Temporary Internet Files\Content.Outlook\NP31AP1L\EPSU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nchon\AppData\Local\Microsoft\Windows\Temporary Internet Files\Content.Outlook\NP31AP1L\EPSU_2015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8CC" w:rsidRPr="003F4A03"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7CA38782" wp14:editId="3AD8F246">
          <wp:simplePos x="0" y="0"/>
          <wp:positionH relativeFrom="column">
            <wp:posOffset>-285750</wp:posOffset>
          </wp:positionH>
          <wp:positionV relativeFrom="paragraph">
            <wp:posOffset>-69850</wp:posOffset>
          </wp:positionV>
          <wp:extent cx="1295400" cy="586740"/>
          <wp:effectExtent l="0" t="0" r="0" b="3810"/>
          <wp:wrapTight wrapText="bothSides">
            <wp:wrapPolygon edited="0">
              <wp:start x="0" y="0"/>
              <wp:lineTo x="0" y="21039"/>
              <wp:lineTo x="21282" y="21039"/>
              <wp:lineTo x="21282" y="0"/>
              <wp:lineTo x="0" y="0"/>
            </wp:wrapPolygon>
          </wp:wrapTight>
          <wp:docPr id="1" name="Picture 1" descr="\\efbhdc\Data2\stephen\Desktop\logo efbww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fbhdc\Data2\stephen\Desktop\logo efbww_hr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A0B" w:rsidRPr="003F4A03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D85B2D3" wp14:editId="1B4DEA98">
              <wp:simplePos x="0" y="0"/>
              <wp:positionH relativeFrom="column">
                <wp:posOffset>28575</wp:posOffset>
              </wp:positionH>
              <wp:positionV relativeFrom="paragraph">
                <wp:posOffset>701040</wp:posOffset>
              </wp:positionV>
              <wp:extent cx="6153150" cy="0"/>
              <wp:effectExtent l="0" t="0" r="1905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A67F525" id="Gerade Verbindung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55.2pt" to="486.7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U54QEAALEDAAAOAAAAZHJzL2Uyb0RvYy54bWysU02P2yAQvVfqf0DcG9tpstq14qzUjbKX&#10;bRtp294ngG1UDIhh4+TfdyBxutveql4QzMdj3uOxuj8Ohh1UQO1sw6tZyZmywkltu4Z//7b9cMsZ&#10;RrASjLOq4SeF/H79/t1q9LWau94ZqQIjEIv16Bvex+jrokDRqwFw5ryylGxdGCDSMXSFDDAS+mCK&#10;eVneFKML0gcnFCJFN+ckX2f8tlUifm1bVJGZhtNsMa8hr/u0FusV1F0A32txGQP+YYoBtKVLr1Ab&#10;iMBegv4LatAiOHRtnAk3FK5ttVCZA7Gpyj/YPPfgVeZC4qC/yoT/D1Z8OewC07LhC84sDPREjyqA&#10;VOyHCntt5Yvt2CLJNHqsqfrB7kIiKo722T858RMpV7xJpgP6c9mxDUMqJ6bsmGU/XWVXx8gEBW+q&#10;5cdqSa8jplwB9dToA8ZH5QaWNg032iZFoIbDE8Z0NdRTSQpbt9XG5Fc1lo0Nv1vOl4QM5K3WQKTt&#10;4Ikt2o4zMB2ZVsSQEdEZLVN3wsHQ7R9MYAcg4yy2t9WnzbmoT9rk6N2yLC8GQoifnTyHq3KK02gX&#10;mDzmG/w08wawP/fkVBKZWoxN96vs3QvF34Km3d7J0y5MqpMvctvFw8l4r8+0f/3T1r8AAAD//wMA&#10;UEsDBBQABgAIAAAAIQDquppw3gAAAAkBAAAPAAAAZHJzL2Rvd25yZXYueG1sTI9BT8JAEIXvJvyH&#10;zZB4ky0KgrVboiQQLyYKhvPSHbuF7mzTXaD21zsmJnqc7728eS9bdK4WZ2xD5UnBeJSAQCq8qahU&#10;8LFd3cxBhKjJ6NoTKvjCAIt8cJXp1PgLveN5E0vBIRRSrcDG2KRShsKi02HkGyTWPn3rdOSzLaVp&#10;9YXDXS1vk+ReOl0Rf7C6waXF4rg5OQW9mS/fXuy6f33ezfppGbar9e6g1PWwe3oEEbGLf2b4qc/V&#10;IedOe38iE0StYDJlI+NxMgHB+sPsjsn+l8g8k/8X5N8AAAD//wMAUEsBAi0AFAAGAAgAAAAhALaD&#10;OJL+AAAA4QEAABMAAAAAAAAAAAAAAAAAAAAAAFtDb250ZW50X1R5cGVzXS54bWxQSwECLQAUAAYA&#10;CAAAACEAOP0h/9YAAACUAQAACwAAAAAAAAAAAAAAAAAvAQAAX3JlbHMvLnJlbHNQSwECLQAUAAYA&#10;CAAAACEA7JIVOeEBAACxAwAADgAAAAAAAAAAAAAAAAAuAgAAZHJzL2Uyb0RvYy54bWxQSwECLQAU&#10;AAYACAAAACEA6rqacN4AAAAJAQAADwAAAAAAAAAAAAAAAAA7BAAAZHJzL2Rvd25yZXYueG1sUEsF&#10;BgAAAAAEAAQA8wAAAEYFAAAAAA=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2B1AFF"/>
    <w:multiLevelType w:val="hybridMultilevel"/>
    <w:tmpl w:val="C622C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5707AB"/>
    <w:multiLevelType w:val="hybridMultilevel"/>
    <w:tmpl w:val="318AC066"/>
    <w:lvl w:ilvl="0" w:tplc="0813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151CF0"/>
    <w:multiLevelType w:val="hybridMultilevel"/>
    <w:tmpl w:val="AA80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27908"/>
    <w:multiLevelType w:val="hybridMultilevel"/>
    <w:tmpl w:val="17F8E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4633BB"/>
    <w:multiLevelType w:val="hybridMultilevel"/>
    <w:tmpl w:val="89421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95878"/>
    <w:multiLevelType w:val="hybridMultilevel"/>
    <w:tmpl w:val="AC629C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B34A7"/>
    <w:multiLevelType w:val="hybridMultilevel"/>
    <w:tmpl w:val="F224E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638B"/>
    <w:multiLevelType w:val="hybridMultilevel"/>
    <w:tmpl w:val="9FD2BF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A57B7"/>
    <w:multiLevelType w:val="hybridMultilevel"/>
    <w:tmpl w:val="A6045A30"/>
    <w:lvl w:ilvl="0" w:tplc="7186B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26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E6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43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F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EA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0E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E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E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3407269"/>
    <w:multiLevelType w:val="hybridMultilevel"/>
    <w:tmpl w:val="F1FCDF38"/>
    <w:lvl w:ilvl="0" w:tplc="E0D25A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0491F8">
      <w:start w:val="26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8AB5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54E12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31EE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3E3E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02D4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CEAB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EE11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C262C6"/>
    <w:multiLevelType w:val="hybridMultilevel"/>
    <w:tmpl w:val="16F87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5B58E5"/>
    <w:multiLevelType w:val="hybridMultilevel"/>
    <w:tmpl w:val="95A0A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25"/>
  </w:num>
  <w:num w:numId="8">
    <w:abstractNumId w:val="21"/>
  </w:num>
  <w:num w:numId="9">
    <w:abstractNumId w:val="20"/>
  </w:num>
  <w:num w:numId="10">
    <w:abstractNumId w:val="29"/>
  </w:num>
  <w:num w:numId="11">
    <w:abstractNumId w:val="16"/>
  </w:num>
  <w:num w:numId="12">
    <w:abstractNumId w:val="27"/>
  </w:num>
  <w:num w:numId="13">
    <w:abstractNumId w:val="28"/>
  </w:num>
  <w:num w:numId="14">
    <w:abstractNumId w:val="1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3"/>
  </w:num>
  <w:num w:numId="19">
    <w:abstractNumId w:val="18"/>
  </w:num>
  <w:num w:numId="20">
    <w:abstractNumId w:val="17"/>
  </w:num>
  <w:num w:numId="21">
    <w:abstractNumId w:val="2"/>
  </w:num>
  <w:num w:numId="22">
    <w:abstractNumId w:val="26"/>
  </w:num>
  <w:num w:numId="23">
    <w:abstractNumId w:val="7"/>
  </w:num>
  <w:num w:numId="24">
    <w:abstractNumId w:val="5"/>
  </w:num>
  <w:num w:numId="25">
    <w:abstractNumId w:val="10"/>
  </w:num>
  <w:num w:numId="26">
    <w:abstractNumId w:val="12"/>
  </w:num>
  <w:num w:numId="27">
    <w:abstractNumId w:val="24"/>
  </w:num>
  <w:num w:numId="28">
    <w:abstractNumId w:val="30"/>
  </w:num>
  <w:num w:numId="29">
    <w:abstractNumId w:val="19"/>
  </w:num>
  <w:num w:numId="30">
    <w:abstractNumId w:val="15"/>
  </w:num>
  <w:num w:numId="31">
    <w:abstractNumId w:val="2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AD"/>
    <w:rsid w:val="000037C9"/>
    <w:rsid w:val="000106EC"/>
    <w:rsid w:val="00010F2C"/>
    <w:rsid w:val="00020994"/>
    <w:rsid w:val="00026722"/>
    <w:rsid w:val="000341CC"/>
    <w:rsid w:val="00035B65"/>
    <w:rsid w:val="00035D1B"/>
    <w:rsid w:val="0004207D"/>
    <w:rsid w:val="000568AC"/>
    <w:rsid w:val="00061D9A"/>
    <w:rsid w:val="00064276"/>
    <w:rsid w:val="00080406"/>
    <w:rsid w:val="00082AAC"/>
    <w:rsid w:val="00094A2B"/>
    <w:rsid w:val="000A4C6B"/>
    <w:rsid w:val="000B0944"/>
    <w:rsid w:val="000B4B76"/>
    <w:rsid w:val="000B6EED"/>
    <w:rsid w:val="000B72E1"/>
    <w:rsid w:val="000C24D8"/>
    <w:rsid w:val="000C6C3D"/>
    <w:rsid w:val="000D0CC7"/>
    <w:rsid w:val="000D2C43"/>
    <w:rsid w:val="000D5F01"/>
    <w:rsid w:val="000E240B"/>
    <w:rsid w:val="000E4BBD"/>
    <w:rsid w:val="000E6F92"/>
    <w:rsid w:val="000F1008"/>
    <w:rsid w:val="000F1D08"/>
    <w:rsid w:val="000F217B"/>
    <w:rsid w:val="000F2E6B"/>
    <w:rsid w:val="000F48E0"/>
    <w:rsid w:val="000F4B4C"/>
    <w:rsid w:val="000F51BC"/>
    <w:rsid w:val="000F6E59"/>
    <w:rsid w:val="0010570E"/>
    <w:rsid w:val="00117DDB"/>
    <w:rsid w:val="0012526E"/>
    <w:rsid w:val="0012622D"/>
    <w:rsid w:val="00135D3E"/>
    <w:rsid w:val="00144B1F"/>
    <w:rsid w:val="001467D0"/>
    <w:rsid w:val="001517C0"/>
    <w:rsid w:val="001547FB"/>
    <w:rsid w:val="001572BE"/>
    <w:rsid w:val="00176057"/>
    <w:rsid w:val="0017730F"/>
    <w:rsid w:val="00191FE0"/>
    <w:rsid w:val="001920BF"/>
    <w:rsid w:val="0019325A"/>
    <w:rsid w:val="00195044"/>
    <w:rsid w:val="0019621B"/>
    <w:rsid w:val="001976EE"/>
    <w:rsid w:val="001A7332"/>
    <w:rsid w:val="001B045C"/>
    <w:rsid w:val="001B3917"/>
    <w:rsid w:val="001C4C39"/>
    <w:rsid w:val="001D7EFD"/>
    <w:rsid w:val="001E02FB"/>
    <w:rsid w:val="001E194D"/>
    <w:rsid w:val="001E3452"/>
    <w:rsid w:val="001E53E1"/>
    <w:rsid w:val="001E7B15"/>
    <w:rsid w:val="00201102"/>
    <w:rsid w:val="0020597A"/>
    <w:rsid w:val="00207CF0"/>
    <w:rsid w:val="0021056C"/>
    <w:rsid w:val="002123AC"/>
    <w:rsid w:val="002168D7"/>
    <w:rsid w:val="002172DF"/>
    <w:rsid w:val="0022330A"/>
    <w:rsid w:val="0022385A"/>
    <w:rsid w:val="00225B87"/>
    <w:rsid w:val="00227370"/>
    <w:rsid w:val="00227BF1"/>
    <w:rsid w:val="0023002B"/>
    <w:rsid w:val="002314F8"/>
    <w:rsid w:val="00243D3D"/>
    <w:rsid w:val="00245A7B"/>
    <w:rsid w:val="0025243A"/>
    <w:rsid w:val="0025319F"/>
    <w:rsid w:val="0025395D"/>
    <w:rsid w:val="002570DB"/>
    <w:rsid w:val="0026423E"/>
    <w:rsid w:val="00265521"/>
    <w:rsid w:val="00271E53"/>
    <w:rsid w:val="00280216"/>
    <w:rsid w:val="0028083A"/>
    <w:rsid w:val="00293CBA"/>
    <w:rsid w:val="0029577C"/>
    <w:rsid w:val="002957C5"/>
    <w:rsid w:val="002A1C1C"/>
    <w:rsid w:val="002B4A1B"/>
    <w:rsid w:val="002C2339"/>
    <w:rsid w:val="002C6233"/>
    <w:rsid w:val="002C7902"/>
    <w:rsid w:val="002D4D23"/>
    <w:rsid w:val="002D715F"/>
    <w:rsid w:val="002E7C5A"/>
    <w:rsid w:val="002F135D"/>
    <w:rsid w:val="002F1381"/>
    <w:rsid w:val="00302D31"/>
    <w:rsid w:val="0031626A"/>
    <w:rsid w:val="00317FE8"/>
    <w:rsid w:val="00323FBE"/>
    <w:rsid w:val="00327CA4"/>
    <w:rsid w:val="0033237D"/>
    <w:rsid w:val="003341A3"/>
    <w:rsid w:val="00334EE6"/>
    <w:rsid w:val="003421C4"/>
    <w:rsid w:val="00343AF7"/>
    <w:rsid w:val="00346111"/>
    <w:rsid w:val="00352C51"/>
    <w:rsid w:val="0037684F"/>
    <w:rsid w:val="00376C23"/>
    <w:rsid w:val="00383956"/>
    <w:rsid w:val="00385901"/>
    <w:rsid w:val="003872C6"/>
    <w:rsid w:val="0039212F"/>
    <w:rsid w:val="00397831"/>
    <w:rsid w:val="003A0969"/>
    <w:rsid w:val="003A1D8A"/>
    <w:rsid w:val="003A36F5"/>
    <w:rsid w:val="003C0CC3"/>
    <w:rsid w:val="003C50E2"/>
    <w:rsid w:val="003D2DDA"/>
    <w:rsid w:val="003E2619"/>
    <w:rsid w:val="003E31B0"/>
    <w:rsid w:val="003E3C0D"/>
    <w:rsid w:val="003E3E1D"/>
    <w:rsid w:val="003E61C5"/>
    <w:rsid w:val="003F2F18"/>
    <w:rsid w:val="003F2FF6"/>
    <w:rsid w:val="003F39E4"/>
    <w:rsid w:val="003F3CFF"/>
    <w:rsid w:val="003F4A03"/>
    <w:rsid w:val="00401A89"/>
    <w:rsid w:val="004035D0"/>
    <w:rsid w:val="00404B84"/>
    <w:rsid w:val="00404D46"/>
    <w:rsid w:val="00407049"/>
    <w:rsid w:val="00412DA4"/>
    <w:rsid w:val="00422BF2"/>
    <w:rsid w:val="00423041"/>
    <w:rsid w:val="00432E0A"/>
    <w:rsid w:val="004406D8"/>
    <w:rsid w:val="00441EC3"/>
    <w:rsid w:val="004454FE"/>
    <w:rsid w:val="00452A29"/>
    <w:rsid w:val="00460ACA"/>
    <w:rsid w:val="0046197C"/>
    <w:rsid w:val="00463CB8"/>
    <w:rsid w:val="00465BBA"/>
    <w:rsid w:val="004810E5"/>
    <w:rsid w:val="00484705"/>
    <w:rsid w:val="0049690A"/>
    <w:rsid w:val="004A007B"/>
    <w:rsid w:val="004A0E99"/>
    <w:rsid w:val="004A3E73"/>
    <w:rsid w:val="004C0D02"/>
    <w:rsid w:val="004C6E28"/>
    <w:rsid w:val="004D0480"/>
    <w:rsid w:val="004D0F54"/>
    <w:rsid w:val="004D2EAD"/>
    <w:rsid w:val="004D6745"/>
    <w:rsid w:val="004D6821"/>
    <w:rsid w:val="004D78FD"/>
    <w:rsid w:val="004E1260"/>
    <w:rsid w:val="004E6B0E"/>
    <w:rsid w:val="004F64A9"/>
    <w:rsid w:val="00501757"/>
    <w:rsid w:val="00504B0F"/>
    <w:rsid w:val="00512129"/>
    <w:rsid w:val="005165BB"/>
    <w:rsid w:val="005218C1"/>
    <w:rsid w:val="00526B32"/>
    <w:rsid w:val="0053047F"/>
    <w:rsid w:val="00530CF0"/>
    <w:rsid w:val="00530DBE"/>
    <w:rsid w:val="00534FF1"/>
    <w:rsid w:val="0053654C"/>
    <w:rsid w:val="00544445"/>
    <w:rsid w:val="00556594"/>
    <w:rsid w:val="0056155C"/>
    <w:rsid w:val="00563295"/>
    <w:rsid w:val="00563484"/>
    <w:rsid w:val="005707A9"/>
    <w:rsid w:val="00586090"/>
    <w:rsid w:val="00586E69"/>
    <w:rsid w:val="0059223A"/>
    <w:rsid w:val="00592368"/>
    <w:rsid w:val="00593F57"/>
    <w:rsid w:val="005952AD"/>
    <w:rsid w:val="00597686"/>
    <w:rsid w:val="005A022A"/>
    <w:rsid w:val="005A2E89"/>
    <w:rsid w:val="005B0F28"/>
    <w:rsid w:val="005B5456"/>
    <w:rsid w:val="005C0930"/>
    <w:rsid w:val="005C183C"/>
    <w:rsid w:val="005C1873"/>
    <w:rsid w:val="005C1BCF"/>
    <w:rsid w:val="005C68F8"/>
    <w:rsid w:val="005D030F"/>
    <w:rsid w:val="005D5AC9"/>
    <w:rsid w:val="005D63D6"/>
    <w:rsid w:val="005D6736"/>
    <w:rsid w:val="005E23AB"/>
    <w:rsid w:val="005F2FE2"/>
    <w:rsid w:val="005F3801"/>
    <w:rsid w:val="005F6FDC"/>
    <w:rsid w:val="005F752E"/>
    <w:rsid w:val="00600EFE"/>
    <w:rsid w:val="0060735B"/>
    <w:rsid w:val="00624B6C"/>
    <w:rsid w:val="006259BD"/>
    <w:rsid w:val="00626600"/>
    <w:rsid w:val="006313D6"/>
    <w:rsid w:val="00633193"/>
    <w:rsid w:val="006333D9"/>
    <w:rsid w:val="00633E96"/>
    <w:rsid w:val="006351CE"/>
    <w:rsid w:val="00636D6A"/>
    <w:rsid w:val="00636D8A"/>
    <w:rsid w:val="00637E8C"/>
    <w:rsid w:val="006402B9"/>
    <w:rsid w:val="00642814"/>
    <w:rsid w:val="00647010"/>
    <w:rsid w:val="006473C1"/>
    <w:rsid w:val="00654ABB"/>
    <w:rsid w:val="00662441"/>
    <w:rsid w:val="00663955"/>
    <w:rsid w:val="00663E51"/>
    <w:rsid w:val="00690AAC"/>
    <w:rsid w:val="00693337"/>
    <w:rsid w:val="00694BB3"/>
    <w:rsid w:val="00696934"/>
    <w:rsid w:val="006A3533"/>
    <w:rsid w:val="006A36A2"/>
    <w:rsid w:val="006A4D3A"/>
    <w:rsid w:val="006A7CB6"/>
    <w:rsid w:val="006B577A"/>
    <w:rsid w:val="006C1EB5"/>
    <w:rsid w:val="006C36B7"/>
    <w:rsid w:val="006C7D2B"/>
    <w:rsid w:val="006D0468"/>
    <w:rsid w:val="006D18CC"/>
    <w:rsid w:val="006E2232"/>
    <w:rsid w:val="006E7ADC"/>
    <w:rsid w:val="006E7E5E"/>
    <w:rsid w:val="006F05D1"/>
    <w:rsid w:val="006F629A"/>
    <w:rsid w:val="00704B1C"/>
    <w:rsid w:val="00704BFB"/>
    <w:rsid w:val="00711592"/>
    <w:rsid w:val="0071797D"/>
    <w:rsid w:val="00725780"/>
    <w:rsid w:val="00727BB6"/>
    <w:rsid w:val="0073035E"/>
    <w:rsid w:val="00730DB0"/>
    <w:rsid w:val="007320F2"/>
    <w:rsid w:val="00733279"/>
    <w:rsid w:val="0073776E"/>
    <w:rsid w:val="00740782"/>
    <w:rsid w:val="00742C16"/>
    <w:rsid w:val="00744772"/>
    <w:rsid w:val="0074558B"/>
    <w:rsid w:val="00753FFD"/>
    <w:rsid w:val="0076106B"/>
    <w:rsid w:val="007619D7"/>
    <w:rsid w:val="00773B9D"/>
    <w:rsid w:val="00774B5E"/>
    <w:rsid w:val="00781AFE"/>
    <w:rsid w:val="00790319"/>
    <w:rsid w:val="00797D85"/>
    <w:rsid w:val="007B055A"/>
    <w:rsid w:val="007B4D68"/>
    <w:rsid w:val="007B58B3"/>
    <w:rsid w:val="007B66E8"/>
    <w:rsid w:val="007D198A"/>
    <w:rsid w:val="007D696C"/>
    <w:rsid w:val="007D7E9A"/>
    <w:rsid w:val="007E39E8"/>
    <w:rsid w:val="007E5B70"/>
    <w:rsid w:val="007F10F6"/>
    <w:rsid w:val="008041BA"/>
    <w:rsid w:val="0082417C"/>
    <w:rsid w:val="0082434B"/>
    <w:rsid w:val="00824382"/>
    <w:rsid w:val="00824859"/>
    <w:rsid w:val="00832EA6"/>
    <w:rsid w:val="00840CA1"/>
    <w:rsid w:val="008452EF"/>
    <w:rsid w:val="008454B6"/>
    <w:rsid w:val="00860A2A"/>
    <w:rsid w:val="008642DF"/>
    <w:rsid w:val="00864758"/>
    <w:rsid w:val="00870D5E"/>
    <w:rsid w:val="00874495"/>
    <w:rsid w:val="00876172"/>
    <w:rsid w:val="00887F86"/>
    <w:rsid w:val="00894A9B"/>
    <w:rsid w:val="00895F84"/>
    <w:rsid w:val="00896D53"/>
    <w:rsid w:val="00897654"/>
    <w:rsid w:val="008A1E5B"/>
    <w:rsid w:val="008B2FFA"/>
    <w:rsid w:val="008C0E8C"/>
    <w:rsid w:val="008C3B8A"/>
    <w:rsid w:val="008C3E4B"/>
    <w:rsid w:val="008C5AC5"/>
    <w:rsid w:val="008C6BDE"/>
    <w:rsid w:val="008C70EB"/>
    <w:rsid w:val="008D7134"/>
    <w:rsid w:val="008E2926"/>
    <w:rsid w:val="008E567F"/>
    <w:rsid w:val="008E5DEB"/>
    <w:rsid w:val="008F5820"/>
    <w:rsid w:val="008F6996"/>
    <w:rsid w:val="00900ACE"/>
    <w:rsid w:val="009014F2"/>
    <w:rsid w:val="009037E8"/>
    <w:rsid w:val="00905EE7"/>
    <w:rsid w:val="0090701B"/>
    <w:rsid w:val="0090763E"/>
    <w:rsid w:val="00924DE3"/>
    <w:rsid w:val="00934A18"/>
    <w:rsid w:val="00940788"/>
    <w:rsid w:val="00947958"/>
    <w:rsid w:val="00950CFD"/>
    <w:rsid w:val="0095101F"/>
    <w:rsid w:val="009525D0"/>
    <w:rsid w:val="00960313"/>
    <w:rsid w:val="009606FF"/>
    <w:rsid w:val="0096093F"/>
    <w:rsid w:val="00960EE3"/>
    <w:rsid w:val="009613A6"/>
    <w:rsid w:val="00965302"/>
    <w:rsid w:val="00965839"/>
    <w:rsid w:val="0097044F"/>
    <w:rsid w:val="00973EF4"/>
    <w:rsid w:val="00982807"/>
    <w:rsid w:val="00983CE7"/>
    <w:rsid w:val="009840B7"/>
    <w:rsid w:val="009865F3"/>
    <w:rsid w:val="0099036F"/>
    <w:rsid w:val="0099244F"/>
    <w:rsid w:val="0099383F"/>
    <w:rsid w:val="0099629B"/>
    <w:rsid w:val="00996B7C"/>
    <w:rsid w:val="009A2340"/>
    <w:rsid w:val="009A77D9"/>
    <w:rsid w:val="009B31E1"/>
    <w:rsid w:val="009B3E62"/>
    <w:rsid w:val="009D0EDE"/>
    <w:rsid w:val="009D4BA3"/>
    <w:rsid w:val="009D6DD7"/>
    <w:rsid w:val="009E0DEF"/>
    <w:rsid w:val="009E24D9"/>
    <w:rsid w:val="009E495E"/>
    <w:rsid w:val="00A132BF"/>
    <w:rsid w:val="00A2058B"/>
    <w:rsid w:val="00A27E73"/>
    <w:rsid w:val="00A337B8"/>
    <w:rsid w:val="00A41B84"/>
    <w:rsid w:val="00A54864"/>
    <w:rsid w:val="00A6200E"/>
    <w:rsid w:val="00A63CA8"/>
    <w:rsid w:val="00A66B61"/>
    <w:rsid w:val="00A66E5D"/>
    <w:rsid w:val="00A75BC9"/>
    <w:rsid w:val="00A83603"/>
    <w:rsid w:val="00A868BF"/>
    <w:rsid w:val="00A94B43"/>
    <w:rsid w:val="00AA431D"/>
    <w:rsid w:val="00AA5BE7"/>
    <w:rsid w:val="00AC637F"/>
    <w:rsid w:val="00AC72D4"/>
    <w:rsid w:val="00AD1ACE"/>
    <w:rsid w:val="00AD3A28"/>
    <w:rsid w:val="00AD5C67"/>
    <w:rsid w:val="00AD6351"/>
    <w:rsid w:val="00AE3943"/>
    <w:rsid w:val="00AE5F76"/>
    <w:rsid w:val="00AE7E41"/>
    <w:rsid w:val="00B01C45"/>
    <w:rsid w:val="00B106C6"/>
    <w:rsid w:val="00B25D43"/>
    <w:rsid w:val="00B2751E"/>
    <w:rsid w:val="00B317FA"/>
    <w:rsid w:val="00B35712"/>
    <w:rsid w:val="00B41F8E"/>
    <w:rsid w:val="00B444D7"/>
    <w:rsid w:val="00B449B7"/>
    <w:rsid w:val="00B45EF2"/>
    <w:rsid w:val="00B50C20"/>
    <w:rsid w:val="00B51249"/>
    <w:rsid w:val="00B513D3"/>
    <w:rsid w:val="00B63273"/>
    <w:rsid w:val="00B67F8F"/>
    <w:rsid w:val="00B73558"/>
    <w:rsid w:val="00B83A94"/>
    <w:rsid w:val="00B92394"/>
    <w:rsid w:val="00BA3A0B"/>
    <w:rsid w:val="00BA3D85"/>
    <w:rsid w:val="00BA52E2"/>
    <w:rsid w:val="00BB3CC1"/>
    <w:rsid w:val="00BC7579"/>
    <w:rsid w:val="00BD04F3"/>
    <w:rsid w:val="00BE28BF"/>
    <w:rsid w:val="00BE32E8"/>
    <w:rsid w:val="00BE3A14"/>
    <w:rsid w:val="00BF0F12"/>
    <w:rsid w:val="00BF6D8E"/>
    <w:rsid w:val="00C00322"/>
    <w:rsid w:val="00C03A62"/>
    <w:rsid w:val="00C050A1"/>
    <w:rsid w:val="00C06012"/>
    <w:rsid w:val="00C07CC3"/>
    <w:rsid w:val="00C15807"/>
    <w:rsid w:val="00C202C5"/>
    <w:rsid w:val="00C230C2"/>
    <w:rsid w:val="00C239F8"/>
    <w:rsid w:val="00C308E3"/>
    <w:rsid w:val="00C40544"/>
    <w:rsid w:val="00C51805"/>
    <w:rsid w:val="00C52E5C"/>
    <w:rsid w:val="00C53A65"/>
    <w:rsid w:val="00C54F85"/>
    <w:rsid w:val="00C6367D"/>
    <w:rsid w:val="00C70FBA"/>
    <w:rsid w:val="00C73794"/>
    <w:rsid w:val="00C76742"/>
    <w:rsid w:val="00C7693D"/>
    <w:rsid w:val="00C8658D"/>
    <w:rsid w:val="00C90116"/>
    <w:rsid w:val="00C90CDC"/>
    <w:rsid w:val="00C90E34"/>
    <w:rsid w:val="00C95368"/>
    <w:rsid w:val="00CA3FBF"/>
    <w:rsid w:val="00CB48AD"/>
    <w:rsid w:val="00CB6315"/>
    <w:rsid w:val="00CB63E1"/>
    <w:rsid w:val="00CB79BE"/>
    <w:rsid w:val="00CC650A"/>
    <w:rsid w:val="00CD24CD"/>
    <w:rsid w:val="00CD40E2"/>
    <w:rsid w:val="00CD72E7"/>
    <w:rsid w:val="00CF031E"/>
    <w:rsid w:val="00CF7CF2"/>
    <w:rsid w:val="00D02F80"/>
    <w:rsid w:val="00D03FF0"/>
    <w:rsid w:val="00D04997"/>
    <w:rsid w:val="00D12728"/>
    <w:rsid w:val="00D16581"/>
    <w:rsid w:val="00D30874"/>
    <w:rsid w:val="00D31BDF"/>
    <w:rsid w:val="00D340CB"/>
    <w:rsid w:val="00D3410C"/>
    <w:rsid w:val="00D43541"/>
    <w:rsid w:val="00D44DA4"/>
    <w:rsid w:val="00D471B4"/>
    <w:rsid w:val="00D61AC9"/>
    <w:rsid w:val="00D703B7"/>
    <w:rsid w:val="00D72BE3"/>
    <w:rsid w:val="00D73292"/>
    <w:rsid w:val="00D802E9"/>
    <w:rsid w:val="00D83593"/>
    <w:rsid w:val="00D84C77"/>
    <w:rsid w:val="00D84D47"/>
    <w:rsid w:val="00D85214"/>
    <w:rsid w:val="00D93510"/>
    <w:rsid w:val="00D948F3"/>
    <w:rsid w:val="00DA2143"/>
    <w:rsid w:val="00DA2365"/>
    <w:rsid w:val="00DA5AC1"/>
    <w:rsid w:val="00DA5C4E"/>
    <w:rsid w:val="00DA7689"/>
    <w:rsid w:val="00DB36BF"/>
    <w:rsid w:val="00DC2E57"/>
    <w:rsid w:val="00DC34E6"/>
    <w:rsid w:val="00DC3DF8"/>
    <w:rsid w:val="00DD0FF1"/>
    <w:rsid w:val="00DD4A43"/>
    <w:rsid w:val="00DD5D57"/>
    <w:rsid w:val="00DE5F79"/>
    <w:rsid w:val="00DF3C3F"/>
    <w:rsid w:val="00DF6EAD"/>
    <w:rsid w:val="00DF7910"/>
    <w:rsid w:val="00E07EBF"/>
    <w:rsid w:val="00E12B37"/>
    <w:rsid w:val="00E17A0F"/>
    <w:rsid w:val="00E17F64"/>
    <w:rsid w:val="00E21085"/>
    <w:rsid w:val="00E216CB"/>
    <w:rsid w:val="00E273D3"/>
    <w:rsid w:val="00E27856"/>
    <w:rsid w:val="00E27B88"/>
    <w:rsid w:val="00E334B2"/>
    <w:rsid w:val="00E33AF8"/>
    <w:rsid w:val="00E4145E"/>
    <w:rsid w:val="00E41AA7"/>
    <w:rsid w:val="00E511B9"/>
    <w:rsid w:val="00E55DAE"/>
    <w:rsid w:val="00E56419"/>
    <w:rsid w:val="00E6345A"/>
    <w:rsid w:val="00E6784E"/>
    <w:rsid w:val="00E70436"/>
    <w:rsid w:val="00E83FAC"/>
    <w:rsid w:val="00E932C3"/>
    <w:rsid w:val="00E94BFE"/>
    <w:rsid w:val="00E9604C"/>
    <w:rsid w:val="00EA022A"/>
    <w:rsid w:val="00EA45F2"/>
    <w:rsid w:val="00EA79A3"/>
    <w:rsid w:val="00EA7C60"/>
    <w:rsid w:val="00EB0109"/>
    <w:rsid w:val="00EB0BDD"/>
    <w:rsid w:val="00EB1DA1"/>
    <w:rsid w:val="00EC231C"/>
    <w:rsid w:val="00ED2285"/>
    <w:rsid w:val="00ED628D"/>
    <w:rsid w:val="00ED7D60"/>
    <w:rsid w:val="00F0288B"/>
    <w:rsid w:val="00F043FB"/>
    <w:rsid w:val="00F04F28"/>
    <w:rsid w:val="00F10711"/>
    <w:rsid w:val="00F212A5"/>
    <w:rsid w:val="00F21B0C"/>
    <w:rsid w:val="00F26DEF"/>
    <w:rsid w:val="00F30C31"/>
    <w:rsid w:val="00F33725"/>
    <w:rsid w:val="00F40C50"/>
    <w:rsid w:val="00F5051E"/>
    <w:rsid w:val="00F51184"/>
    <w:rsid w:val="00F52E64"/>
    <w:rsid w:val="00F53E18"/>
    <w:rsid w:val="00F61552"/>
    <w:rsid w:val="00F65591"/>
    <w:rsid w:val="00F71C37"/>
    <w:rsid w:val="00F73622"/>
    <w:rsid w:val="00F74420"/>
    <w:rsid w:val="00F74A1D"/>
    <w:rsid w:val="00F9105A"/>
    <w:rsid w:val="00F95224"/>
    <w:rsid w:val="00FA6123"/>
    <w:rsid w:val="00FA7950"/>
    <w:rsid w:val="00FB1A86"/>
    <w:rsid w:val="00FC7753"/>
    <w:rsid w:val="00FD0813"/>
    <w:rsid w:val="00FD0C36"/>
    <w:rsid w:val="00FD217A"/>
    <w:rsid w:val="00FD3A36"/>
    <w:rsid w:val="00FE1851"/>
    <w:rsid w:val="00FF4368"/>
    <w:rsid w:val="00FF6E03"/>
    <w:rsid w:val="00FF749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9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116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Nagwek9">
    <w:name w:val="heading 9"/>
    <w:basedOn w:val="Normalny"/>
    <w:next w:val="Normalny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omylnaczcionkaakapitu"/>
    <w:rsid w:val="007B66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B66E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omylnaczcionkaakapitu"/>
    <w:uiPriority w:val="99"/>
    <w:rsid w:val="007B66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6E8"/>
    <w:pPr>
      <w:ind w:left="720"/>
    </w:pPr>
    <w:rPr>
      <w:rFonts w:cs="Calibri"/>
    </w:rPr>
  </w:style>
  <w:style w:type="paragraph" w:styleId="Tekstdymka">
    <w:name w:val="Balloon Text"/>
    <w:basedOn w:val="Normalny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omylnaczcionkaakapitu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Bezodstpw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1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1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B0"/>
    <w:rPr>
      <w:b/>
      <w:bCs/>
      <w:lang w:eastAsia="en-US"/>
    </w:rPr>
  </w:style>
  <w:style w:type="paragraph" w:styleId="Poprawka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63CA8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semiHidden/>
    <w:unhideWhenUsed/>
    <w:rsid w:val="00717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97D"/>
    <w:rPr>
      <w:rFonts w:eastAsia="Times New Roman"/>
      <w:lang w:val="de-DE" w:eastAsia="de-DE"/>
    </w:rPr>
  </w:style>
  <w:style w:type="character" w:styleId="Odwoanieprzypisudolnego">
    <w:name w:val="footnote reference"/>
    <w:basedOn w:val="Domylnaczcionkaakapitu"/>
    <w:semiHidden/>
    <w:unhideWhenUsed/>
    <w:rsid w:val="0071797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78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58B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E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4B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9D4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116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Nagwek9">
    <w:name w:val="heading 9"/>
    <w:basedOn w:val="Normalny"/>
    <w:next w:val="Normalny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omylnaczcionkaakapitu"/>
    <w:rsid w:val="007B66E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7B66E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omylnaczcionkaakapitu"/>
    <w:uiPriority w:val="99"/>
    <w:rsid w:val="007B66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B66E8"/>
    <w:pPr>
      <w:ind w:left="720"/>
    </w:pPr>
    <w:rPr>
      <w:rFonts w:cs="Calibri"/>
    </w:rPr>
  </w:style>
  <w:style w:type="paragraph" w:styleId="Tekstdymka">
    <w:name w:val="Balloon Text"/>
    <w:basedOn w:val="Normalny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omylnaczcionkaakapitu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Bezodstpw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1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1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B0"/>
    <w:rPr>
      <w:b/>
      <w:bCs/>
      <w:lang w:eastAsia="en-US"/>
    </w:rPr>
  </w:style>
  <w:style w:type="paragraph" w:styleId="Poprawka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ytuZnak">
    <w:name w:val="Tytuł Znak"/>
    <w:basedOn w:val="Domylnaczcionkaakapitu"/>
    <w:link w:val="Tytu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A63CA8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semiHidden/>
    <w:unhideWhenUsed/>
    <w:rsid w:val="00717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797D"/>
    <w:rPr>
      <w:rFonts w:eastAsia="Times New Roman"/>
      <w:lang w:val="de-DE" w:eastAsia="de-DE"/>
    </w:rPr>
  </w:style>
  <w:style w:type="character" w:styleId="Odwoanieprzypisudolnego">
    <w:name w:val="footnote reference"/>
    <w:basedOn w:val="Domylnaczcionkaakapitu"/>
    <w:semiHidden/>
    <w:unhideWhenUsed/>
    <w:rsid w:val="0071797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78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58B3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E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4B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rsid w:val="009D4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effat.org" TargetMode="External"/><Relationship Id="rId26" Type="http://schemas.openxmlformats.org/officeDocument/2006/relationships/hyperlink" Target="mailto:gdurivaux@epsu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e.somaglia@effat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c.europa.eu/info/sites/info/files/brexit_files/info_site/transnational_workers_council_en_0.pdf" TargetMode="External"/><Relationship Id="rId17" Type="http://schemas.openxmlformats.org/officeDocument/2006/relationships/image" Target="media/image4.jpeg"/><Relationship Id="rId25" Type="http://schemas.openxmlformats.org/officeDocument/2006/relationships/hyperlink" Target="mailto:tjanssen@efbww.e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mailto:annika.flat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uk/guidance/participating-in-a-european-works-council" TargetMode="External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uni-europa.org" TargetMode="External"/><Relationship Id="rId23" Type="http://schemas.openxmlformats.org/officeDocument/2006/relationships/image" Target="media/image6.jpe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mailto:bruno.demaitre@industriall-europe.eu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PL/TXT/PDF/?uri=CELEX:22020A1231(01)&amp;from=EN" TargetMode="External"/><Relationship Id="rId14" Type="http://schemas.openxmlformats.org/officeDocument/2006/relationships/hyperlink" Target="http://www.industriall-europe.eu" TargetMode="External"/><Relationship Id="rId22" Type="http://schemas.openxmlformats.org/officeDocument/2006/relationships/image" Target="media/image5.jpeg"/><Relationship Id="rId27" Type="http://schemas.openxmlformats.org/officeDocument/2006/relationships/hyperlink" Target="mailto:m.chaffart@etf-europe.org" TargetMode="External"/><Relationship Id="rId30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gislation.gov.uk/uksi/2019/535/contents/made" TargetMode="External"/><Relationship Id="rId2" Type="http://schemas.openxmlformats.org/officeDocument/2006/relationships/hyperlink" Target="https://www.legislation.gov.uk/ukpga/2018/16/contents/enacted/data.htm" TargetMode="External"/><Relationship Id="rId1" Type="http://schemas.openxmlformats.org/officeDocument/2006/relationships/hyperlink" Target="https://eur-lex.europa.eu/legal-content/PL/TXT/PDF/?uri=CELEX:22020A1231(01)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6" Type="http://schemas.openxmlformats.org/officeDocument/2006/relationships/image" Target="media/image13.jpeg"/><Relationship Id="rId5" Type="http://schemas.openxmlformats.org/officeDocument/2006/relationships/image" Target="media/image12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367D-4C89-40AF-9A36-8341E3CF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3244</TotalTime>
  <Pages>7</Pages>
  <Words>2370</Words>
  <Characters>14222</Characters>
  <Application>Microsoft Office Word</Application>
  <DocSecurity>0</DocSecurity>
  <Lines>118</Lines>
  <Paragraphs>33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Conchon</dc:creator>
  <cp:keywords>Template-Position Paper</cp:keywords>
  <cp:lastModifiedBy>Basia</cp:lastModifiedBy>
  <cp:revision>77</cp:revision>
  <cp:lastPrinted>2016-12-09T08:06:00Z</cp:lastPrinted>
  <dcterms:created xsi:type="dcterms:W3CDTF">2021-01-19T17:17:00Z</dcterms:created>
  <dcterms:modified xsi:type="dcterms:W3CDTF">2021-02-01T11:39:00Z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579779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