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35" w:rsidRPr="00702071" w:rsidRDefault="00110A35" w:rsidP="0070207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DEKLARACJA</w:t>
      </w:r>
    </w:p>
    <w:p w:rsidR="00110A35" w:rsidRPr="00702071" w:rsidRDefault="00110A35" w:rsidP="0070207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wdrożonych zasad bezpieczeństwa</w:t>
      </w:r>
    </w:p>
    <w:p w:rsidR="00110A35" w:rsidRPr="00702071" w:rsidRDefault="00110A35" w:rsidP="0070207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w</w:t>
      </w:r>
      <w:r w:rsidR="0070207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02071" w:rsidRPr="00702071">
        <w:rPr>
          <w:rFonts w:asciiTheme="majorHAnsi" w:hAnsiTheme="majorHAnsi"/>
          <w:b/>
          <w:bCs/>
          <w:sz w:val="24"/>
          <w:szCs w:val="24"/>
        </w:rPr>
        <w:t>Krajowym Sekretariacie Metalowców NSZZ „Solidarność”</w:t>
      </w:r>
    </w:p>
    <w:p w:rsidR="00702071" w:rsidRDefault="00702071" w:rsidP="00702071">
      <w:pPr>
        <w:jc w:val="both"/>
        <w:rPr>
          <w:rFonts w:asciiTheme="majorHAnsi" w:hAnsiTheme="majorHAnsi"/>
          <w:sz w:val="24"/>
          <w:szCs w:val="24"/>
        </w:rPr>
      </w:pPr>
    </w:p>
    <w:p w:rsidR="00110A35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Niniejszy dokument określa zasady bezpieczeństwa informacji i ochrony danych osobowych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stosowane przez administratora w celu spełnienia wymagań Rozporządzenia Parlamentu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Europejskiego i Rady (UE) 2016/679 z dnia 27 kwietnia 2016 r. w sprawie ochrony osób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fizycznych w związku z przetwarzaniem danych osobowych i w sprawie swobodnego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przepływu takich danych.</w:t>
      </w:r>
    </w:p>
    <w:p w:rsidR="00702071" w:rsidRPr="00702071" w:rsidRDefault="00702071" w:rsidP="00702071">
      <w:pPr>
        <w:jc w:val="both"/>
        <w:rPr>
          <w:rFonts w:asciiTheme="majorHAnsi" w:hAnsiTheme="majorHAnsi"/>
          <w:sz w:val="24"/>
          <w:szCs w:val="24"/>
        </w:rPr>
      </w:pP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Analiza ryzyka pod kątem prywatności i ochrony danych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 xml:space="preserve">1. Dokonuje się oceny ryzyka pod kątem prywatności i ochrony danych osobowych </w:t>
      </w:r>
      <w:r w:rsidR="00702071">
        <w:rPr>
          <w:rFonts w:asciiTheme="majorHAnsi" w:hAnsiTheme="majorHAnsi"/>
          <w:sz w:val="24"/>
          <w:szCs w:val="24"/>
        </w:rPr>
        <w:br/>
      </w:r>
      <w:r w:rsidRPr="00702071">
        <w:rPr>
          <w:rFonts w:asciiTheme="majorHAnsi" w:hAnsiTheme="majorHAnsi"/>
          <w:sz w:val="24"/>
          <w:szCs w:val="24"/>
        </w:rPr>
        <w:t>z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 xml:space="preserve">uwzględnieniem czynników wewnętrznych i zewnętrznych, uwzględniając </w:t>
      </w:r>
      <w:r w:rsidR="00702071">
        <w:rPr>
          <w:rFonts w:asciiTheme="majorHAnsi" w:hAnsiTheme="majorHAnsi"/>
          <w:sz w:val="24"/>
          <w:szCs w:val="24"/>
        </w:rPr>
        <w:br/>
      </w:r>
      <w:bookmarkStart w:id="0" w:name="_GoBack"/>
      <w:bookmarkEnd w:id="0"/>
      <w:r w:rsidRPr="00702071">
        <w:rPr>
          <w:rFonts w:asciiTheme="majorHAnsi" w:hAnsiTheme="majorHAnsi"/>
          <w:sz w:val="24"/>
          <w:szCs w:val="24"/>
        </w:rPr>
        <w:t>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szczególności: wielkość, strukturę organizacyjną, możliwości techniczne czy też rodzaj,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zakres i cel przetwarzania danych.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2. Przeglądy analizy ryzyka wykonywane są cyklicznie lub w przypadku istotnych zmian,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jednakże nie rzadziej niż raz w roku.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3. Analiza ryzyka przeprowadzona jest w następujących krokach: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ustalenie procesu przetwarzania, czyli ustalenie jakie dane są przetwarzane, w jaki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sposób dane są zbierane, jak są wykorzystywane i przechowywane;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kontrola prawna, czyli upewnienie się, że proces przetwarzania jest zgodny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 prawem, spełnia wszystkie wymagania administratora danych oraz wszystkie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obowiązki względem klienta, pracownika, współpracownika;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c. określenie realnych zagrożeń dla danych osobowych, tj. takich zagrożeń, które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mogłyby skutkować utratą danych, ich nieuprawnioną zmianą lub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nieuprawnionym udostępnieniem. Nie są rozpatrywane zagrożenia, których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wystąpienie jest bardzo mało prawdopodobne lub niemożliwe;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d. analiza jakie zabezpieczenie są stosowane by zapobiec zidentyfikowanym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zagrożeniom oraz weryfikacja czy stosowane zabezpieczenia są wystarczające.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Jeśli nie są wystarczające, to należy rozważyć zmianę lub zastosowanie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dodatkowych zabezpieczeń.</w:t>
      </w:r>
    </w:p>
    <w:p w:rsidR="00110A35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4. Podejmuje się działania i wdraża zidentyfikowane w wyniku analizy ryzyka dodatkowe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zabezpieczenia.</w:t>
      </w:r>
    </w:p>
    <w:p w:rsidR="00702071" w:rsidRPr="00702071" w:rsidRDefault="00702071" w:rsidP="00702071">
      <w:pPr>
        <w:jc w:val="both"/>
        <w:rPr>
          <w:rFonts w:asciiTheme="majorHAnsi" w:hAnsiTheme="majorHAnsi"/>
          <w:sz w:val="24"/>
          <w:szCs w:val="24"/>
        </w:rPr>
      </w:pP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lastRenderedPageBreak/>
        <w:t>Rejestr kategorii czynności przetwarzania</w:t>
      </w:r>
    </w:p>
    <w:p w:rsidR="00110A35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Prowadzi się rejestr kategorii czynności przetwarzania dokonywanych w imieniu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administratora danych osobowych.</w:t>
      </w:r>
    </w:p>
    <w:p w:rsidR="00702071" w:rsidRPr="00702071" w:rsidRDefault="00702071" w:rsidP="00702071">
      <w:pPr>
        <w:jc w:val="both"/>
        <w:rPr>
          <w:rFonts w:asciiTheme="majorHAnsi" w:hAnsiTheme="majorHAnsi"/>
          <w:sz w:val="24"/>
          <w:szCs w:val="24"/>
        </w:rPr>
      </w:pP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Zasady bezpieczeństwa informacji i ochrony danych osobowych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1. Zasada czystego biurka i czystego ekranu: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opuszczając swoje miejsce pracy nawet na chwilę, pamiętaj o tym, by zablokować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komputer;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nie pozostawiaj na biurku dokumentów bez nadzoru;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c. po zakończonej pracy zabezpiecz dokumenty papierowe i inne nośniki danych.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2. Zasada zamykania drzwi do pokoju: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pamiętaj, by za każdym razem, kiedy wychodzisz ze swojego pokoju, zamykać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drzwi na klucz. Otwarte pomieszczenie to swobodny dostęp do dokumentów 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innych wartościowych przedmiotów, które się w nim znajdują.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3. Zasada noszenia kluczy przy sobie: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nie pożyczaj kluczy do pokoju;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osoby z zewnątrz mogą przebywać w pomieszczeniach wyłącznie w towarzystwie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osób upoważnionych.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4. Zasada niezdradzania tajemnic oraz nierozmawiania o sprawach służbowych poza pracą: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wszelkie wiadomości uzyskane w związku z wykonywanymi czynnościami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służbowymi wymagają ochrony przed nieuprawnionym ujawnieniem. Dlatego nie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rozmawiaj o sprawach służbowych, przebywając poza pracą. Prowadząc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miejscu publicznym służbową rozmowę telefoniczną, zachowaj dyskrecję i unikaj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możliwości jej podsłuchania;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jeżeli udostępniasz dane osobowe dokładnie zweryfikuj tożsamość odbiorcy.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Musisz mieć pewność, że ta osoba jest upoważniona do ich otrzymania.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5. Zasada ochrony i korzystania ze sprzętu mobilnego: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 xml:space="preserve">a. sprzęt mobilny (laptopy, telefony, </w:t>
      </w:r>
      <w:proofErr w:type="spellStart"/>
      <w:r w:rsidRPr="00702071">
        <w:rPr>
          <w:rFonts w:asciiTheme="majorHAnsi" w:hAnsiTheme="majorHAnsi"/>
          <w:sz w:val="24"/>
          <w:szCs w:val="24"/>
        </w:rPr>
        <w:t>pendrive</w:t>
      </w:r>
      <w:proofErr w:type="spellEnd"/>
      <w:r w:rsidRPr="00702071">
        <w:rPr>
          <w:rFonts w:asciiTheme="majorHAnsi" w:hAnsiTheme="majorHAnsi"/>
          <w:sz w:val="24"/>
          <w:szCs w:val="24"/>
        </w:rPr>
        <w:t>’y itp.) należy zabezpieczyć przed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kradzieżą oraz nieuprawnionym dostępem do umieszczonych na nim danych;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lastRenderedPageBreak/>
        <w:t>b. zwracaj uwagę, aby osoby nieuprawnione nie miały dostępu do treści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wyświetlanych na ekranie Twojego monitora;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c. nie korzystaj z nośników danych pochodzących z nieznanego źródła (np.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 xml:space="preserve">znalezionych </w:t>
      </w:r>
      <w:proofErr w:type="spellStart"/>
      <w:r w:rsidRPr="00702071">
        <w:rPr>
          <w:rFonts w:asciiTheme="majorHAnsi" w:hAnsiTheme="majorHAnsi"/>
          <w:sz w:val="24"/>
          <w:szCs w:val="24"/>
        </w:rPr>
        <w:t>pendrive’ów</w:t>
      </w:r>
      <w:proofErr w:type="spellEnd"/>
      <w:r w:rsidRPr="00702071">
        <w:rPr>
          <w:rFonts w:asciiTheme="majorHAnsi" w:hAnsiTheme="majorHAnsi"/>
          <w:sz w:val="24"/>
          <w:szCs w:val="24"/>
        </w:rPr>
        <w:t>), ponieważ może być na nich zainstalowane złośliwe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oprogramowanie.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6. Zasada poufności i niepowtarzalności haseł oraz loginów: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w systemach informatycznych każdy pracownik ma spersonalizowany login;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nigdy nie ujawniaj swoich haseł dostępu.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7. Zasada czystych drukarek/kser/faksów/koszy oraz niszczenia zbędnych dokumentów: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natychmiast po wydrukowaniu dokumenty należy zabierać z drukarek, faksów 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kser;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zadbaj o to, by wszystkie dokumenty – które nie służą do dalszego wykorzystania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– były niszczone w sposób uniemożliwiający ich odczytanie. Przy czym należy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tym przypadku zwracać szczególną uwagę, które dokumenty podlegają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zniszczeniu tak, aby nie zniszczyć dokumentów, które należy wykorzystywać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dalszych procesach czy należy je archiwizować;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c. nie pozostawiaj w koszu żadnych dokumentów, które mogą zawierać ważne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informacje bądź dane osobowe. Przed wysłaniem dokumentu do wydrukowania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upewnij się, że wybrałeś prawidłowe urządzenie.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8. Zasada przechowywania dokumentów: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dokumenty przechowuj z dala od widoku osób postronnych, stosując zasadę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czystego biurka.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9. Zasada ostrożności w korzystaniu z poczty elektronicznej oraz legalności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oprogramowania: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nie udostępniaj nikomu swojej skrzynki poczty elektronicznej;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odbierając pocztę, zachowaj szczególną ostrożność w przypadku otwierania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załączników pochodzących od nieznanych nadawców, czytania wiadomości, co do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których istnieje podejrzenie załączenia wirusa komputerowego;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c. nie instaluj żadnego oprogramowania oraz nie przechowuj treści, wobec których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nie posiadasz praw autorskich bądź licencji.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10. Zasady organizacji dostępu do poczty elektronicznej i Internetu: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zabezpiecz przesyłane drogą elektroniczną poufne informacje, wykorzystując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tym celu mechanizmy szyfrujące.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lastRenderedPageBreak/>
        <w:t>11. Zgłaszanie incydentów oraz luk w bezpieczeństwie informacji: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jeśli zauważysz sytuację, która może spowodować zagrożenie lub ujawnienie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informacji służbowych, zgłoś zaobserwowany incydent bądź luki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bezpieczeństwie;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b. wszelkie incydenty bezpieczeństwa zgłaszaj podając jak najwięcej informacji,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które pomogą wyjaśnić zdarzenie.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12. Dbanie o poufność, prawidłowość i integralność danych:</w:t>
      </w:r>
    </w:p>
    <w:p w:rsidR="00702071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a. dbaj o to, aby dane na których pracujesz były prawidłowe.</w:t>
      </w: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Upoważnienia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1. Osoby które mogą mieć dostęp lub mogą przetwarzać dane osobowe muszą zostać do tego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upoważnione.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2. Wymagane jest prowadzenie ewidencji osób upoważnionych do przetwarzania danych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osobowych.</w:t>
      </w:r>
    </w:p>
    <w:p w:rsidR="00702071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3. Dodatkowo - ze względu na powierzenie danych - wymaga się, aby osoby te podpisały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oświadczenie o zachowaniu poufności.</w:t>
      </w: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Odpowiedzialność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Naruszenie przepisów ochrony danych osobowych, przez ujawnienie ich osobom lub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podmiotom nieuprawnionym, jak też wykorzystanie ich dla celów innych, niż wykonywanie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obowiązków służbowych, zagrożone jest odpowiedzialnością cywilną do wysokości szkody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poniesionej przez administratora na skutek nie zachowania się do ustalonych procedur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związanych z ochroną danych osobowych i karną przewidzianą przez obowiązujące przepisy.</w:t>
      </w: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Szkolenia</w:t>
      </w:r>
    </w:p>
    <w:p w:rsidR="00110A35" w:rsidRPr="00702071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Do przetwarzania danych osobowych mogą być dopuszczone tylko osoby przeszkolone w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zakresie zasad bezpieczeństwa oraz stosowania przepisów z zakresu ochrony danych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osobowych.</w:t>
      </w:r>
    </w:p>
    <w:p w:rsidR="00110A35" w:rsidRPr="00702071" w:rsidRDefault="00110A35" w:rsidP="00702071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702071">
        <w:rPr>
          <w:rFonts w:asciiTheme="majorHAnsi" w:hAnsiTheme="majorHAnsi"/>
          <w:b/>
          <w:bCs/>
          <w:sz w:val="24"/>
          <w:szCs w:val="24"/>
        </w:rPr>
        <w:t>Przeglądy</w:t>
      </w:r>
    </w:p>
    <w:p w:rsidR="00110A35" w:rsidRDefault="00110A35" w:rsidP="00702071">
      <w:pPr>
        <w:jc w:val="both"/>
        <w:rPr>
          <w:rFonts w:asciiTheme="majorHAnsi" w:hAnsiTheme="majorHAnsi"/>
          <w:sz w:val="24"/>
          <w:szCs w:val="24"/>
        </w:rPr>
      </w:pPr>
      <w:r w:rsidRPr="00702071">
        <w:rPr>
          <w:rFonts w:asciiTheme="majorHAnsi" w:hAnsiTheme="majorHAnsi"/>
          <w:sz w:val="24"/>
          <w:szCs w:val="24"/>
        </w:rPr>
        <w:t>Regularnie dokonuje się weryfikacji, pomiaru i oceny skuteczności środkó</w:t>
      </w:r>
      <w:r w:rsidR="00702071">
        <w:rPr>
          <w:rFonts w:asciiTheme="majorHAnsi" w:hAnsiTheme="majorHAnsi"/>
          <w:sz w:val="24"/>
          <w:szCs w:val="24"/>
        </w:rPr>
        <w:t xml:space="preserve">w </w:t>
      </w:r>
      <w:r w:rsidRPr="00702071">
        <w:rPr>
          <w:rFonts w:asciiTheme="majorHAnsi" w:hAnsiTheme="majorHAnsi"/>
          <w:sz w:val="24"/>
          <w:szCs w:val="24"/>
        </w:rPr>
        <w:t>organizacyjnych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i technicznych mających zapewnić bezpieczeństwo informacji oraz ochronę danych</w:t>
      </w:r>
      <w:r w:rsidR="00702071">
        <w:rPr>
          <w:rFonts w:asciiTheme="majorHAnsi" w:hAnsiTheme="majorHAnsi"/>
          <w:sz w:val="24"/>
          <w:szCs w:val="24"/>
        </w:rPr>
        <w:t xml:space="preserve"> </w:t>
      </w:r>
      <w:r w:rsidRPr="00702071">
        <w:rPr>
          <w:rFonts w:asciiTheme="majorHAnsi" w:hAnsiTheme="majorHAnsi"/>
          <w:sz w:val="24"/>
          <w:szCs w:val="24"/>
        </w:rPr>
        <w:t>osobowych.</w:t>
      </w:r>
    </w:p>
    <w:p w:rsidR="00702071" w:rsidRPr="00702071" w:rsidRDefault="00702071" w:rsidP="00702071">
      <w:pPr>
        <w:jc w:val="both"/>
        <w:rPr>
          <w:rFonts w:asciiTheme="majorHAnsi" w:hAnsiTheme="majorHAnsi"/>
          <w:sz w:val="24"/>
          <w:szCs w:val="24"/>
        </w:rPr>
      </w:pPr>
    </w:p>
    <w:sectPr w:rsidR="00702071" w:rsidRPr="0070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35"/>
    <w:rsid w:val="00110A35"/>
    <w:rsid w:val="00702071"/>
    <w:rsid w:val="008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Dorota</cp:lastModifiedBy>
  <cp:revision>2</cp:revision>
  <dcterms:created xsi:type="dcterms:W3CDTF">2018-07-19T14:10:00Z</dcterms:created>
  <dcterms:modified xsi:type="dcterms:W3CDTF">2018-07-23T10:05:00Z</dcterms:modified>
</cp:coreProperties>
</file>